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883F0" w14:textId="0C422EB0" w:rsidR="00BE136B" w:rsidRPr="002541AA" w:rsidRDefault="0083454B" w:rsidP="00B37A1D">
      <w:pPr>
        <w:pStyle w:val="berschrift1"/>
        <w:spacing w:before="0"/>
        <w:rPr>
          <w:sz w:val="36"/>
        </w:rPr>
      </w:pPr>
      <w:r>
        <w:rPr>
          <w:sz w:val="36"/>
        </w:rPr>
        <w:t>Transkript der Tonspuren</w:t>
      </w:r>
    </w:p>
    <w:p w14:paraId="1FCE0714" w14:textId="43665813" w:rsidR="00A23453" w:rsidRPr="002541AA" w:rsidRDefault="00A23453" w:rsidP="24FACAAF">
      <w:pPr>
        <w:spacing w:line="276" w:lineRule="auto"/>
        <w:rPr>
          <w:sz w:val="22"/>
          <w:szCs w:val="22"/>
        </w:rPr>
      </w:pPr>
    </w:p>
    <w:p w14:paraId="4832EF06" w14:textId="66F9F7DF" w:rsidR="000229B5" w:rsidRPr="002541AA" w:rsidRDefault="24FACAAF" w:rsidP="00A92659">
      <w:pPr>
        <w:spacing w:line="360" w:lineRule="auto"/>
        <w:rPr>
          <w:rFonts w:cs="Arial"/>
          <w:sz w:val="22"/>
          <w:szCs w:val="22"/>
          <w:u w:val="single"/>
        </w:rPr>
      </w:pPr>
      <w:r w:rsidRPr="24FACAAF">
        <w:rPr>
          <w:rFonts w:cs="Arial"/>
          <w:sz w:val="22"/>
          <w:szCs w:val="22"/>
          <w:u w:val="single"/>
        </w:rPr>
        <w:t>Folie 2: Inhalt und Übersicht</w:t>
      </w:r>
    </w:p>
    <w:p w14:paraId="2C2B4FD4" w14:textId="38959937" w:rsidR="24FACAAF" w:rsidRDefault="24FACAAF" w:rsidP="24FACAAF">
      <w:pPr>
        <w:spacing w:line="276" w:lineRule="auto"/>
        <w:rPr>
          <w:rFonts w:cs="Arial"/>
          <w:sz w:val="22"/>
          <w:szCs w:val="22"/>
        </w:rPr>
      </w:pPr>
      <w:r w:rsidRPr="24FACAAF">
        <w:rPr>
          <w:rFonts w:cs="Arial"/>
          <w:sz w:val="22"/>
          <w:szCs w:val="22"/>
        </w:rPr>
        <w:t>Wie, wo und was essen eigentlich Menschen in Deutschland? Wie sieht das Essverhalten am Arbeitsplatz aus? Und welche gesundheitlichen Folgen hat dies? Diese Fragen sollen in diesem Kapitel geklärt werden. Dazu schauen wir uns die aktuelle Studienlage näher an.</w:t>
      </w:r>
    </w:p>
    <w:p w14:paraId="076FE24A" w14:textId="77777777" w:rsidR="00C01D36" w:rsidRPr="002541AA" w:rsidRDefault="00C01D36" w:rsidP="00BE136B">
      <w:pPr>
        <w:spacing w:line="276" w:lineRule="auto"/>
        <w:rPr>
          <w:rFonts w:cs="Arial"/>
          <w:sz w:val="22"/>
          <w:szCs w:val="22"/>
        </w:rPr>
      </w:pPr>
    </w:p>
    <w:p w14:paraId="194E8B80" w14:textId="3F37D84D" w:rsidR="00CC0726" w:rsidRPr="002541AA" w:rsidRDefault="00CC0726" w:rsidP="00A92659">
      <w:pPr>
        <w:spacing w:line="360" w:lineRule="auto"/>
        <w:rPr>
          <w:rFonts w:cs="Arial"/>
          <w:sz w:val="22"/>
          <w:szCs w:val="22"/>
          <w:u w:val="single"/>
        </w:rPr>
      </w:pPr>
      <w:r w:rsidRPr="002541AA">
        <w:rPr>
          <w:rFonts w:cs="Arial"/>
          <w:sz w:val="22"/>
          <w:szCs w:val="22"/>
          <w:u w:val="single"/>
        </w:rPr>
        <w:t>Folie 4</w:t>
      </w:r>
      <w:r w:rsidR="00BE136B" w:rsidRPr="002541AA">
        <w:rPr>
          <w:rFonts w:cs="Arial"/>
          <w:sz w:val="22"/>
          <w:szCs w:val="22"/>
          <w:u w:val="single"/>
        </w:rPr>
        <w:t>: NVS II: Studie</w:t>
      </w:r>
    </w:p>
    <w:p w14:paraId="24A255A2" w14:textId="180B1330" w:rsidR="006C7B02" w:rsidRPr="002541AA" w:rsidRDefault="003C6A16" w:rsidP="00BE136B">
      <w:pPr>
        <w:spacing w:line="276" w:lineRule="auto"/>
        <w:rPr>
          <w:rFonts w:cs="Arial"/>
          <w:sz w:val="22"/>
          <w:szCs w:val="22"/>
        </w:rPr>
      </w:pPr>
      <w:r w:rsidRPr="002541AA">
        <w:rPr>
          <w:rFonts w:cs="Arial"/>
          <w:sz w:val="22"/>
          <w:szCs w:val="22"/>
        </w:rPr>
        <w:t xml:space="preserve">Die Nationale </w:t>
      </w:r>
      <w:proofErr w:type="spellStart"/>
      <w:r w:rsidRPr="002541AA">
        <w:rPr>
          <w:rFonts w:cs="Arial"/>
          <w:sz w:val="22"/>
          <w:szCs w:val="22"/>
        </w:rPr>
        <w:t>Verzehrsstudie</w:t>
      </w:r>
      <w:proofErr w:type="spellEnd"/>
      <w:r w:rsidRPr="002541AA">
        <w:rPr>
          <w:rFonts w:cs="Arial"/>
          <w:sz w:val="22"/>
          <w:szCs w:val="22"/>
        </w:rPr>
        <w:t xml:space="preserve"> 2 – kurz: NVS 2 – ist eine Langzeitstudie des </w:t>
      </w:r>
      <w:proofErr w:type="gramStart"/>
      <w:r w:rsidRPr="002541AA">
        <w:rPr>
          <w:rFonts w:cs="Arial"/>
          <w:sz w:val="22"/>
          <w:szCs w:val="22"/>
        </w:rPr>
        <w:t>Max Rubner-Instituts</w:t>
      </w:r>
      <w:proofErr w:type="gramEnd"/>
      <w:r w:rsidRPr="002541AA">
        <w:rPr>
          <w:rFonts w:cs="Arial"/>
          <w:sz w:val="22"/>
          <w:szCs w:val="22"/>
        </w:rPr>
        <w:t>, die die Ernährungssituation und das Essverhalten von Jugendlichen und Erwachsenen in Deutschland ermittelt</w:t>
      </w:r>
      <w:r w:rsidR="006C7B02" w:rsidRPr="002541AA">
        <w:rPr>
          <w:rFonts w:cs="Arial"/>
          <w:sz w:val="22"/>
          <w:szCs w:val="22"/>
        </w:rPr>
        <w:t xml:space="preserve"> hat</w:t>
      </w:r>
      <w:r w:rsidRPr="002541AA">
        <w:rPr>
          <w:rFonts w:cs="Arial"/>
          <w:sz w:val="22"/>
          <w:szCs w:val="22"/>
        </w:rPr>
        <w:t xml:space="preserve">. </w:t>
      </w:r>
      <w:r w:rsidR="00C0665F" w:rsidRPr="002541AA">
        <w:rPr>
          <w:rFonts w:cs="Arial"/>
          <w:sz w:val="22"/>
          <w:szCs w:val="22"/>
        </w:rPr>
        <w:t xml:space="preserve">Dazu wurden zwischen November 2005 und Januar 2007 im Rahmen einer repräsentativen Umfrage </w:t>
      </w:r>
      <w:r w:rsidR="007619D6" w:rsidRPr="002541AA">
        <w:rPr>
          <w:rFonts w:cs="Arial"/>
          <w:sz w:val="22"/>
          <w:szCs w:val="22"/>
        </w:rPr>
        <w:t>knapp 20.000</w:t>
      </w:r>
      <w:r w:rsidR="00C0665F" w:rsidRPr="002541AA">
        <w:rPr>
          <w:rFonts w:cs="Arial"/>
          <w:sz w:val="22"/>
          <w:szCs w:val="22"/>
        </w:rPr>
        <w:t xml:space="preserve"> Männer und Frauen im Alte</w:t>
      </w:r>
      <w:r w:rsidR="006C7B02" w:rsidRPr="002541AA">
        <w:rPr>
          <w:rFonts w:cs="Arial"/>
          <w:sz w:val="22"/>
          <w:szCs w:val="22"/>
        </w:rPr>
        <w:t>r von 14 bis 80 Jahren befragt.</w:t>
      </w:r>
    </w:p>
    <w:p w14:paraId="1E7E760D" w14:textId="02BBE3CD" w:rsidR="00DD1C73" w:rsidRPr="002541AA" w:rsidRDefault="0072008D" w:rsidP="00BE136B">
      <w:pPr>
        <w:spacing w:line="276" w:lineRule="auto"/>
        <w:rPr>
          <w:rFonts w:cs="Arial"/>
          <w:sz w:val="22"/>
          <w:szCs w:val="22"/>
        </w:rPr>
      </w:pPr>
      <w:r w:rsidRPr="002541AA">
        <w:rPr>
          <w:rFonts w:cs="Arial"/>
          <w:sz w:val="22"/>
          <w:szCs w:val="22"/>
        </w:rPr>
        <w:t>Im 1. Teil des Ergebnisberichts werden a</w:t>
      </w:r>
      <w:r w:rsidR="00C0665F" w:rsidRPr="002541AA">
        <w:rPr>
          <w:rFonts w:cs="Arial"/>
          <w:sz w:val="22"/>
          <w:szCs w:val="22"/>
        </w:rPr>
        <w:t xml:space="preserve">usführliche Informationen zum Studiendesign und den Erhebungsinstrumenten der NVS 2 </w:t>
      </w:r>
      <w:r w:rsidRPr="002541AA">
        <w:rPr>
          <w:rFonts w:cs="Arial"/>
          <w:sz w:val="22"/>
          <w:szCs w:val="22"/>
        </w:rPr>
        <w:t>beschrieben</w:t>
      </w:r>
      <w:r w:rsidR="00DD1C73" w:rsidRPr="002541AA">
        <w:rPr>
          <w:rFonts w:cs="Arial"/>
          <w:sz w:val="22"/>
          <w:szCs w:val="22"/>
        </w:rPr>
        <w:t>.</w:t>
      </w:r>
    </w:p>
    <w:p w14:paraId="29894599" w14:textId="6871D5CC" w:rsidR="00C0665F" w:rsidRPr="002541AA" w:rsidRDefault="00C0665F" w:rsidP="00BE136B">
      <w:pPr>
        <w:spacing w:line="276" w:lineRule="auto"/>
        <w:rPr>
          <w:rFonts w:cs="Arial"/>
          <w:sz w:val="22"/>
          <w:szCs w:val="22"/>
        </w:rPr>
      </w:pPr>
      <w:r w:rsidRPr="002541AA">
        <w:rPr>
          <w:rFonts w:cs="Arial"/>
          <w:sz w:val="22"/>
          <w:szCs w:val="22"/>
        </w:rPr>
        <w:t xml:space="preserve">Im </w:t>
      </w:r>
      <w:r w:rsidR="0072008D" w:rsidRPr="002541AA">
        <w:rPr>
          <w:rFonts w:cs="Arial"/>
          <w:sz w:val="22"/>
          <w:szCs w:val="22"/>
        </w:rPr>
        <w:t>2. Teil</w:t>
      </w:r>
      <w:r w:rsidRPr="002541AA">
        <w:rPr>
          <w:rFonts w:cs="Arial"/>
          <w:sz w:val="22"/>
          <w:szCs w:val="22"/>
        </w:rPr>
        <w:t xml:space="preserve"> werden die Ergebnisse der </w:t>
      </w:r>
      <w:proofErr w:type="spellStart"/>
      <w:r w:rsidRPr="002541AA">
        <w:rPr>
          <w:rFonts w:cs="Arial"/>
          <w:sz w:val="22"/>
          <w:szCs w:val="22"/>
        </w:rPr>
        <w:t>Diet</w:t>
      </w:r>
      <w:proofErr w:type="spellEnd"/>
      <w:r w:rsidRPr="002541AA">
        <w:rPr>
          <w:rFonts w:cs="Arial"/>
          <w:sz w:val="22"/>
          <w:szCs w:val="22"/>
        </w:rPr>
        <w:t>-</w:t>
      </w:r>
      <w:proofErr w:type="spellStart"/>
      <w:r w:rsidRPr="002541AA">
        <w:rPr>
          <w:rFonts w:cs="Arial"/>
          <w:sz w:val="22"/>
          <w:szCs w:val="22"/>
        </w:rPr>
        <w:t>History</w:t>
      </w:r>
      <w:proofErr w:type="spellEnd"/>
      <w:r w:rsidRPr="002541AA">
        <w:rPr>
          <w:rFonts w:cs="Arial"/>
          <w:sz w:val="22"/>
          <w:szCs w:val="22"/>
        </w:rPr>
        <w:t xml:space="preserve">-Interviews zum Lebensmittelverzehr, zur Nährstoffzufuhr sowie zur Einnahme von Supplementen von </w:t>
      </w:r>
      <w:r w:rsidR="007619D6" w:rsidRPr="002541AA">
        <w:rPr>
          <w:rFonts w:cs="Arial"/>
          <w:sz w:val="22"/>
          <w:szCs w:val="22"/>
        </w:rPr>
        <w:t>mehr als</w:t>
      </w:r>
      <w:r w:rsidRPr="002541AA">
        <w:rPr>
          <w:rFonts w:cs="Arial"/>
          <w:sz w:val="22"/>
          <w:szCs w:val="22"/>
        </w:rPr>
        <w:t xml:space="preserve"> 15.</w:t>
      </w:r>
      <w:r w:rsidR="007619D6" w:rsidRPr="002541AA">
        <w:rPr>
          <w:rFonts w:cs="Arial"/>
          <w:sz w:val="22"/>
          <w:szCs w:val="22"/>
        </w:rPr>
        <w:t>000</w:t>
      </w:r>
      <w:r w:rsidRPr="002541AA">
        <w:rPr>
          <w:rFonts w:cs="Arial"/>
          <w:sz w:val="22"/>
          <w:szCs w:val="22"/>
        </w:rPr>
        <w:t xml:space="preserve"> Teilnehmerinnen und Teilnehmern </w:t>
      </w:r>
      <w:r w:rsidR="007619D6" w:rsidRPr="002541AA">
        <w:rPr>
          <w:rFonts w:cs="Arial"/>
          <w:sz w:val="22"/>
          <w:szCs w:val="22"/>
        </w:rPr>
        <w:t>dargelegt</w:t>
      </w:r>
      <w:r w:rsidRPr="002541AA">
        <w:rPr>
          <w:rFonts w:cs="Arial"/>
          <w:sz w:val="22"/>
          <w:szCs w:val="22"/>
        </w:rPr>
        <w:t>.</w:t>
      </w:r>
      <w:r w:rsidR="0072008D" w:rsidRPr="002541AA">
        <w:rPr>
          <w:rFonts w:cs="Arial"/>
          <w:sz w:val="22"/>
          <w:szCs w:val="22"/>
        </w:rPr>
        <w:t xml:space="preserve"> </w:t>
      </w:r>
    </w:p>
    <w:p w14:paraId="46DBAB32" w14:textId="07C4EBCB" w:rsidR="00BB7EC6" w:rsidRPr="002541AA" w:rsidRDefault="007619D6" w:rsidP="00BE136B">
      <w:pPr>
        <w:spacing w:line="276" w:lineRule="auto"/>
        <w:rPr>
          <w:rFonts w:cs="Arial"/>
          <w:sz w:val="22"/>
          <w:szCs w:val="22"/>
        </w:rPr>
      </w:pPr>
      <w:r w:rsidRPr="002541AA">
        <w:rPr>
          <w:rFonts w:cs="Arial"/>
          <w:sz w:val="22"/>
          <w:szCs w:val="22"/>
        </w:rPr>
        <w:t xml:space="preserve">Außerdem wurden 2013 </w:t>
      </w:r>
      <w:r w:rsidR="00CC0726" w:rsidRPr="002541AA">
        <w:rPr>
          <w:rFonts w:cs="Arial"/>
          <w:sz w:val="22"/>
          <w:szCs w:val="22"/>
        </w:rPr>
        <w:t xml:space="preserve">Ergebnisse von zwei 24-Stunden-Recalls vorgestellt, die an </w:t>
      </w:r>
      <w:r w:rsidRPr="002541AA">
        <w:rPr>
          <w:rFonts w:cs="Arial"/>
          <w:sz w:val="22"/>
          <w:szCs w:val="22"/>
        </w:rPr>
        <w:t xml:space="preserve">über 13.000 </w:t>
      </w:r>
      <w:r w:rsidR="00CC0726" w:rsidRPr="002541AA">
        <w:rPr>
          <w:rFonts w:cs="Arial"/>
          <w:sz w:val="22"/>
          <w:szCs w:val="22"/>
        </w:rPr>
        <w:t xml:space="preserve">Probanden erhoben wurden. </w:t>
      </w:r>
      <w:r w:rsidR="00C0665F" w:rsidRPr="002541AA">
        <w:rPr>
          <w:rFonts w:cs="Arial"/>
          <w:sz w:val="22"/>
          <w:szCs w:val="22"/>
        </w:rPr>
        <w:t xml:space="preserve">Der Lebensmittelverzehr und die Nährstoffzufuhr wurden mit den Orientierungswerten der Deutschen Gesellschaft für Ernährung </w:t>
      </w:r>
      <w:r w:rsidR="00E343EA" w:rsidRPr="002541AA">
        <w:rPr>
          <w:rFonts w:cs="Arial"/>
          <w:sz w:val="22"/>
          <w:szCs w:val="22"/>
        </w:rPr>
        <w:t xml:space="preserve">und den </w:t>
      </w:r>
      <w:r w:rsidR="00DD1C73" w:rsidRPr="002541AA">
        <w:rPr>
          <w:rFonts w:cs="Arial"/>
          <w:sz w:val="22"/>
          <w:szCs w:val="22"/>
        </w:rPr>
        <w:t>DACH</w:t>
      </w:r>
      <w:r w:rsidR="00C0665F" w:rsidRPr="002541AA">
        <w:rPr>
          <w:rFonts w:cs="Arial"/>
          <w:sz w:val="22"/>
          <w:szCs w:val="22"/>
        </w:rPr>
        <w:t>-Referenzwerten für die Nährstoffzufuhr der Ernährungsfachgesellschaften in Deutschland, Österr</w:t>
      </w:r>
      <w:r w:rsidR="00E343EA" w:rsidRPr="002541AA">
        <w:rPr>
          <w:rFonts w:cs="Arial"/>
          <w:sz w:val="22"/>
          <w:szCs w:val="22"/>
        </w:rPr>
        <w:t>eich und der Schweiz verglichen.</w:t>
      </w:r>
    </w:p>
    <w:p w14:paraId="32A423D8" w14:textId="10291A34" w:rsidR="00C0665F" w:rsidRPr="002541AA" w:rsidRDefault="00C0665F" w:rsidP="00BE136B">
      <w:pPr>
        <w:spacing w:line="276" w:lineRule="auto"/>
        <w:rPr>
          <w:rFonts w:cs="Arial"/>
          <w:sz w:val="22"/>
          <w:szCs w:val="22"/>
        </w:rPr>
      </w:pPr>
      <w:r w:rsidRPr="002541AA">
        <w:rPr>
          <w:rFonts w:cs="Arial"/>
          <w:sz w:val="22"/>
          <w:szCs w:val="22"/>
        </w:rPr>
        <w:t xml:space="preserve">Ergänzend dazu erfolgte </w:t>
      </w:r>
      <w:r w:rsidR="00CC0726" w:rsidRPr="002541AA">
        <w:rPr>
          <w:rFonts w:cs="Arial"/>
          <w:sz w:val="22"/>
          <w:szCs w:val="22"/>
        </w:rPr>
        <w:t xml:space="preserve">im Zeitraum von 2008 bis 2015 </w:t>
      </w:r>
      <w:r w:rsidRPr="002541AA">
        <w:rPr>
          <w:rFonts w:cs="Arial"/>
          <w:sz w:val="22"/>
          <w:szCs w:val="22"/>
        </w:rPr>
        <w:t xml:space="preserve">im Rahmen des Nationalen </w:t>
      </w:r>
      <w:proofErr w:type="spellStart"/>
      <w:r w:rsidRPr="002541AA">
        <w:rPr>
          <w:rFonts w:cs="Arial"/>
          <w:sz w:val="22"/>
          <w:szCs w:val="22"/>
        </w:rPr>
        <w:t>Ernährungsmonitorings</w:t>
      </w:r>
      <w:proofErr w:type="spellEnd"/>
      <w:r w:rsidRPr="002541AA">
        <w:rPr>
          <w:rFonts w:cs="Arial"/>
          <w:sz w:val="22"/>
          <w:szCs w:val="22"/>
        </w:rPr>
        <w:t xml:space="preserve"> </w:t>
      </w:r>
      <w:r w:rsidRPr="002541AA">
        <w:rPr>
          <w:rFonts w:cs="Arial"/>
          <w:sz w:val="22"/>
          <w:szCs w:val="22"/>
          <w:cs/>
          <w:lang w:bidi="mr-IN"/>
        </w:rPr>
        <w:t>–</w:t>
      </w:r>
      <w:r w:rsidRPr="002541AA">
        <w:rPr>
          <w:rFonts w:cs="Arial"/>
          <w:sz w:val="22"/>
          <w:szCs w:val="22"/>
        </w:rPr>
        <w:t xml:space="preserve"> kurz: NEMONIT </w:t>
      </w:r>
      <w:r w:rsidRPr="002541AA">
        <w:rPr>
          <w:rFonts w:cs="Arial"/>
          <w:sz w:val="22"/>
          <w:szCs w:val="22"/>
          <w:cs/>
          <w:lang w:bidi="mr-IN"/>
        </w:rPr>
        <w:t>–</w:t>
      </w:r>
      <w:r w:rsidR="00C80470" w:rsidRPr="002541AA">
        <w:rPr>
          <w:rFonts w:cs="Arial"/>
          <w:sz w:val="22"/>
          <w:szCs w:val="22"/>
        </w:rPr>
        <w:t xml:space="preserve"> eine länger</w:t>
      </w:r>
      <w:r w:rsidRPr="002541AA">
        <w:rPr>
          <w:rFonts w:cs="Arial"/>
          <w:sz w:val="22"/>
          <w:szCs w:val="22"/>
        </w:rPr>
        <w:t>fristige Beobachtung des Essverhaltens in Deutschland</w:t>
      </w:r>
      <w:r w:rsidR="00CC0726" w:rsidRPr="002541AA">
        <w:rPr>
          <w:rFonts w:cs="Arial"/>
          <w:sz w:val="22"/>
          <w:szCs w:val="22"/>
        </w:rPr>
        <w:t xml:space="preserve">. </w:t>
      </w:r>
      <w:r w:rsidR="00A01690" w:rsidRPr="002541AA">
        <w:rPr>
          <w:rFonts w:cs="Arial"/>
          <w:sz w:val="22"/>
          <w:szCs w:val="22"/>
        </w:rPr>
        <w:t xml:space="preserve">Das </w:t>
      </w:r>
      <w:proofErr w:type="gramStart"/>
      <w:r w:rsidR="00A01690" w:rsidRPr="002541AA">
        <w:rPr>
          <w:rFonts w:cs="Arial"/>
          <w:sz w:val="22"/>
          <w:szCs w:val="22"/>
        </w:rPr>
        <w:t xml:space="preserve">Max </w:t>
      </w:r>
      <w:r w:rsidRPr="002541AA">
        <w:rPr>
          <w:rFonts w:cs="Arial"/>
          <w:sz w:val="22"/>
          <w:szCs w:val="22"/>
        </w:rPr>
        <w:t>Rubner-Institut</w:t>
      </w:r>
      <w:proofErr w:type="gramEnd"/>
      <w:r w:rsidRPr="002541AA">
        <w:rPr>
          <w:rFonts w:cs="Arial"/>
          <w:sz w:val="22"/>
          <w:szCs w:val="22"/>
        </w:rPr>
        <w:t xml:space="preserve"> befragte</w:t>
      </w:r>
      <w:r w:rsidR="00C80470" w:rsidRPr="002541AA">
        <w:rPr>
          <w:rFonts w:cs="Arial"/>
          <w:sz w:val="22"/>
          <w:szCs w:val="22"/>
        </w:rPr>
        <w:t xml:space="preserve"> hierbei</w:t>
      </w:r>
      <w:r w:rsidRPr="002541AA">
        <w:rPr>
          <w:rFonts w:cs="Arial"/>
          <w:sz w:val="22"/>
          <w:szCs w:val="22"/>
        </w:rPr>
        <w:t xml:space="preserve"> im Auftrag des </w:t>
      </w:r>
      <w:r w:rsidR="006C7B02" w:rsidRPr="002541AA">
        <w:rPr>
          <w:rFonts w:cs="Arial"/>
          <w:sz w:val="22"/>
          <w:szCs w:val="22"/>
        </w:rPr>
        <w:t>ehemaligen</w:t>
      </w:r>
      <w:r w:rsidRPr="002541AA">
        <w:rPr>
          <w:rFonts w:cs="Arial"/>
          <w:sz w:val="22"/>
          <w:szCs w:val="22"/>
        </w:rPr>
        <w:t xml:space="preserve"> Bundesministeriums für Ernährung, Landwirtschaft und Verbraucherschutz </w:t>
      </w:r>
      <w:r w:rsidR="00C80470" w:rsidRPr="002541AA">
        <w:rPr>
          <w:rFonts w:cs="Arial"/>
          <w:sz w:val="22"/>
          <w:szCs w:val="22"/>
        </w:rPr>
        <w:t>jedes Jahr</w:t>
      </w:r>
      <w:r w:rsidRPr="002541AA">
        <w:rPr>
          <w:rFonts w:cs="Arial"/>
          <w:sz w:val="22"/>
          <w:szCs w:val="22"/>
        </w:rPr>
        <w:t xml:space="preserve"> ein Panel aus knapp 2.000 Personen zwischen 18 und 80 J</w:t>
      </w:r>
      <w:r w:rsidR="00E343EA" w:rsidRPr="002541AA">
        <w:rPr>
          <w:rFonts w:cs="Arial"/>
          <w:sz w:val="22"/>
          <w:szCs w:val="22"/>
        </w:rPr>
        <w:t>ahren, die bereits an der NVS 2 teilgenommen hatten.</w:t>
      </w:r>
    </w:p>
    <w:p w14:paraId="14B7041B" w14:textId="736BD25C" w:rsidR="00622C49" w:rsidRPr="002541AA" w:rsidRDefault="00622C49" w:rsidP="00BE136B">
      <w:pPr>
        <w:spacing w:line="276" w:lineRule="auto"/>
        <w:rPr>
          <w:rFonts w:cs="Arial"/>
          <w:sz w:val="22"/>
          <w:szCs w:val="22"/>
        </w:rPr>
      </w:pPr>
      <w:r w:rsidRPr="002541AA">
        <w:rPr>
          <w:rFonts w:cs="Arial"/>
          <w:sz w:val="22"/>
          <w:szCs w:val="22"/>
        </w:rPr>
        <w:t xml:space="preserve">Derzeit ist die nächste großangelegte </w:t>
      </w:r>
      <w:proofErr w:type="spellStart"/>
      <w:r w:rsidRPr="002541AA">
        <w:rPr>
          <w:rFonts w:cs="Arial"/>
          <w:sz w:val="22"/>
          <w:szCs w:val="22"/>
        </w:rPr>
        <w:t>Verzehrsstudie</w:t>
      </w:r>
      <w:proofErr w:type="spellEnd"/>
      <w:r w:rsidRPr="002541AA">
        <w:rPr>
          <w:rFonts w:cs="Arial"/>
          <w:sz w:val="22"/>
          <w:szCs w:val="22"/>
        </w:rPr>
        <w:t xml:space="preserve"> vom </w:t>
      </w:r>
      <w:proofErr w:type="gramStart"/>
      <w:r w:rsidRPr="002541AA">
        <w:rPr>
          <w:rFonts w:cs="Arial"/>
          <w:sz w:val="22"/>
          <w:szCs w:val="22"/>
        </w:rPr>
        <w:t>Max Rubner-Institut</w:t>
      </w:r>
      <w:proofErr w:type="gramEnd"/>
      <w:r w:rsidRPr="002541AA">
        <w:rPr>
          <w:rFonts w:cs="Arial"/>
          <w:sz w:val="22"/>
          <w:szCs w:val="22"/>
        </w:rPr>
        <w:t xml:space="preserve"> in Vorbereitung</w:t>
      </w:r>
      <w:r w:rsidR="006246EE" w:rsidRPr="002541AA">
        <w:rPr>
          <w:rFonts w:cs="Arial"/>
          <w:sz w:val="22"/>
          <w:szCs w:val="22"/>
        </w:rPr>
        <w:t>.</w:t>
      </w:r>
    </w:p>
    <w:p w14:paraId="5DFFE1F8" w14:textId="77777777" w:rsidR="00C0665F" w:rsidRPr="002541AA" w:rsidRDefault="00C0665F" w:rsidP="00BE136B">
      <w:pPr>
        <w:spacing w:line="276" w:lineRule="auto"/>
        <w:rPr>
          <w:rFonts w:cs="Arial"/>
          <w:sz w:val="22"/>
          <w:szCs w:val="22"/>
        </w:rPr>
      </w:pPr>
    </w:p>
    <w:p w14:paraId="43F8F188" w14:textId="188E9AC7" w:rsidR="000229B5" w:rsidRPr="002541AA" w:rsidRDefault="005F4999" w:rsidP="00A92659">
      <w:pPr>
        <w:spacing w:line="360" w:lineRule="auto"/>
        <w:rPr>
          <w:rFonts w:cs="Arial"/>
          <w:sz w:val="22"/>
          <w:szCs w:val="22"/>
          <w:u w:val="single"/>
        </w:rPr>
      </w:pPr>
      <w:r w:rsidRPr="002541AA">
        <w:rPr>
          <w:rFonts w:cs="Arial"/>
          <w:sz w:val="22"/>
          <w:szCs w:val="22"/>
          <w:u w:val="single"/>
        </w:rPr>
        <w:t xml:space="preserve">Folie </w:t>
      </w:r>
      <w:r w:rsidR="00BE136B" w:rsidRPr="002541AA">
        <w:rPr>
          <w:rFonts w:cs="Arial"/>
          <w:sz w:val="22"/>
          <w:szCs w:val="22"/>
          <w:u w:val="single"/>
        </w:rPr>
        <w:t>5: NVS II: Ergebnisse</w:t>
      </w:r>
    </w:p>
    <w:p w14:paraId="3C8CD264" w14:textId="46FD6AB6" w:rsidR="00C0665F" w:rsidRPr="002541AA" w:rsidRDefault="001B1C36" w:rsidP="00BE136B">
      <w:pPr>
        <w:spacing w:line="276" w:lineRule="auto"/>
        <w:rPr>
          <w:rFonts w:cs="Arial"/>
          <w:sz w:val="22"/>
          <w:szCs w:val="22"/>
        </w:rPr>
      </w:pPr>
      <w:r w:rsidRPr="002541AA">
        <w:rPr>
          <w:rFonts w:cs="Arial"/>
          <w:sz w:val="22"/>
          <w:szCs w:val="22"/>
        </w:rPr>
        <w:t xml:space="preserve">Die wichtigsten Ergebnisse der </w:t>
      </w:r>
      <w:r w:rsidR="00E343EA" w:rsidRPr="002541AA">
        <w:rPr>
          <w:rFonts w:cs="Arial"/>
          <w:sz w:val="22"/>
          <w:szCs w:val="22"/>
        </w:rPr>
        <w:t>NVS 2</w:t>
      </w:r>
      <w:r w:rsidRPr="002541AA">
        <w:rPr>
          <w:rFonts w:cs="Arial"/>
          <w:sz w:val="22"/>
          <w:szCs w:val="22"/>
        </w:rPr>
        <w:t>-Studie sind folgende</w:t>
      </w:r>
      <w:r w:rsidR="00CC0726" w:rsidRPr="002541AA">
        <w:rPr>
          <w:rFonts w:cs="Arial"/>
          <w:sz w:val="22"/>
          <w:szCs w:val="22"/>
        </w:rPr>
        <w:t xml:space="preserve">: </w:t>
      </w:r>
    </w:p>
    <w:p w14:paraId="43CA5697" w14:textId="77777777" w:rsidR="00CC0726" w:rsidRPr="002541AA" w:rsidRDefault="00CC0726" w:rsidP="00BE136B">
      <w:pPr>
        <w:pStyle w:val="Listenabsatz"/>
        <w:numPr>
          <w:ilvl w:val="0"/>
          <w:numId w:val="17"/>
        </w:numPr>
        <w:spacing w:line="276" w:lineRule="auto"/>
        <w:rPr>
          <w:rFonts w:cs="Arial"/>
          <w:sz w:val="22"/>
          <w:szCs w:val="22"/>
        </w:rPr>
      </w:pPr>
      <w:r w:rsidRPr="002541AA">
        <w:rPr>
          <w:rFonts w:cs="Arial"/>
          <w:sz w:val="22"/>
          <w:szCs w:val="22"/>
        </w:rPr>
        <w:t>Z</w:t>
      </w:r>
      <w:r w:rsidR="00EC60FD" w:rsidRPr="002541AA">
        <w:rPr>
          <w:rFonts w:cs="Arial"/>
          <w:sz w:val="22"/>
          <w:szCs w:val="22"/>
        </w:rPr>
        <w:t xml:space="preserve">wei Drittel der Männer </w:t>
      </w:r>
      <w:r w:rsidR="005F4999" w:rsidRPr="002541AA">
        <w:rPr>
          <w:rFonts w:cs="Arial"/>
          <w:sz w:val="22"/>
          <w:szCs w:val="22"/>
        </w:rPr>
        <w:t>sowie</w:t>
      </w:r>
      <w:r w:rsidR="00EC60FD" w:rsidRPr="002541AA">
        <w:rPr>
          <w:rFonts w:cs="Arial"/>
          <w:sz w:val="22"/>
          <w:szCs w:val="22"/>
        </w:rPr>
        <w:t xml:space="preserve"> die Hälfte der Frauen in Deutschland </w:t>
      </w:r>
      <w:r w:rsidRPr="002541AA">
        <w:rPr>
          <w:rFonts w:cs="Arial"/>
          <w:sz w:val="22"/>
          <w:szCs w:val="22"/>
        </w:rPr>
        <w:t xml:space="preserve">sind </w:t>
      </w:r>
      <w:r w:rsidR="00EC60FD" w:rsidRPr="002541AA">
        <w:rPr>
          <w:rFonts w:cs="Arial"/>
          <w:sz w:val="22"/>
          <w:szCs w:val="22"/>
        </w:rPr>
        <w:t>übergewichtig. Jeder fünfte Erwachsene ist</w:t>
      </w:r>
      <w:r w:rsidR="005F4999" w:rsidRPr="002541AA">
        <w:rPr>
          <w:rFonts w:cs="Arial"/>
          <w:sz w:val="22"/>
          <w:szCs w:val="22"/>
        </w:rPr>
        <w:t xml:space="preserve"> sogar</w:t>
      </w:r>
      <w:r w:rsidR="00EC60FD" w:rsidRPr="002541AA">
        <w:rPr>
          <w:rFonts w:cs="Arial"/>
          <w:sz w:val="22"/>
          <w:szCs w:val="22"/>
        </w:rPr>
        <w:t xml:space="preserve"> adipös und damit gefährdet, an Herz-Kreislauf-Erkrankungen oder Diabetes zu erkranken. </w:t>
      </w:r>
    </w:p>
    <w:p w14:paraId="157617EF" w14:textId="234B5B31" w:rsidR="00450CE7" w:rsidRPr="002541AA" w:rsidRDefault="00E571C5" w:rsidP="00BE136B">
      <w:pPr>
        <w:pStyle w:val="Listenabsatz"/>
        <w:numPr>
          <w:ilvl w:val="0"/>
          <w:numId w:val="17"/>
        </w:numPr>
        <w:spacing w:line="276" w:lineRule="auto"/>
        <w:rPr>
          <w:rFonts w:cs="Arial"/>
          <w:sz w:val="22"/>
          <w:szCs w:val="22"/>
        </w:rPr>
      </w:pPr>
      <w:r w:rsidRPr="002541AA">
        <w:rPr>
          <w:rFonts w:cs="Arial"/>
          <w:sz w:val="22"/>
          <w:szCs w:val="22"/>
        </w:rPr>
        <w:t xml:space="preserve">Die </w:t>
      </w:r>
      <w:r w:rsidR="00CC0726" w:rsidRPr="002541AA">
        <w:rPr>
          <w:rFonts w:cs="Arial"/>
          <w:sz w:val="22"/>
          <w:szCs w:val="22"/>
        </w:rPr>
        <w:t xml:space="preserve">Befragten </w:t>
      </w:r>
      <w:r w:rsidRPr="002541AA">
        <w:rPr>
          <w:rFonts w:cs="Arial"/>
          <w:sz w:val="22"/>
          <w:szCs w:val="22"/>
        </w:rPr>
        <w:t>verzehren deutlich mehr Fleisch</w:t>
      </w:r>
      <w:r w:rsidR="006907B5" w:rsidRPr="002541AA">
        <w:rPr>
          <w:rFonts w:cs="Arial"/>
          <w:sz w:val="22"/>
          <w:szCs w:val="22"/>
        </w:rPr>
        <w:t xml:space="preserve"> und Wurstwaren, als von der Deutschen Gesellschaft für Ernährung</w:t>
      </w:r>
      <w:r w:rsidRPr="002541AA">
        <w:rPr>
          <w:rFonts w:cs="Arial"/>
          <w:sz w:val="22"/>
          <w:szCs w:val="22"/>
        </w:rPr>
        <w:t xml:space="preserve"> empfohlen</w:t>
      </w:r>
      <w:r w:rsidR="006907B5" w:rsidRPr="002541AA">
        <w:rPr>
          <w:rFonts w:cs="Arial"/>
          <w:sz w:val="22"/>
          <w:szCs w:val="22"/>
        </w:rPr>
        <w:t xml:space="preserve"> wird</w:t>
      </w:r>
      <w:r w:rsidRPr="002541AA">
        <w:rPr>
          <w:rFonts w:cs="Arial"/>
          <w:sz w:val="22"/>
          <w:szCs w:val="22"/>
        </w:rPr>
        <w:t xml:space="preserve"> – </w:t>
      </w:r>
      <w:r w:rsidR="00EC60FD" w:rsidRPr="002541AA">
        <w:rPr>
          <w:rFonts w:cs="Arial"/>
          <w:sz w:val="22"/>
          <w:szCs w:val="22"/>
        </w:rPr>
        <w:t>Männer</w:t>
      </w:r>
      <w:r w:rsidRPr="002541AA">
        <w:rPr>
          <w:rFonts w:cs="Arial"/>
          <w:sz w:val="22"/>
          <w:szCs w:val="22"/>
        </w:rPr>
        <w:t xml:space="preserve"> </w:t>
      </w:r>
      <w:r w:rsidR="00CC0726" w:rsidRPr="002541AA">
        <w:rPr>
          <w:rFonts w:cs="Arial"/>
          <w:sz w:val="22"/>
          <w:szCs w:val="22"/>
        </w:rPr>
        <w:t xml:space="preserve">verzehren im </w:t>
      </w:r>
      <w:r w:rsidR="00EC60FD" w:rsidRPr="002541AA">
        <w:rPr>
          <w:rFonts w:cs="Arial"/>
          <w:sz w:val="22"/>
          <w:szCs w:val="22"/>
        </w:rPr>
        <w:t>Dur</w:t>
      </w:r>
      <w:r w:rsidR="00CC0726" w:rsidRPr="002541AA">
        <w:rPr>
          <w:rFonts w:cs="Arial"/>
          <w:sz w:val="22"/>
          <w:szCs w:val="22"/>
        </w:rPr>
        <w:t>ch</w:t>
      </w:r>
      <w:r w:rsidRPr="002541AA">
        <w:rPr>
          <w:rFonts w:cs="Arial"/>
          <w:sz w:val="22"/>
          <w:szCs w:val="22"/>
        </w:rPr>
        <w:t xml:space="preserve">schnitt </w:t>
      </w:r>
      <w:r w:rsidR="00CC0726" w:rsidRPr="002541AA">
        <w:rPr>
          <w:rFonts w:cs="Arial"/>
          <w:sz w:val="22"/>
          <w:szCs w:val="22"/>
        </w:rPr>
        <w:t xml:space="preserve">etwa </w:t>
      </w:r>
      <w:r w:rsidR="00AC0A26" w:rsidRPr="002541AA">
        <w:rPr>
          <w:rFonts w:cs="Arial"/>
          <w:sz w:val="22"/>
          <w:szCs w:val="22"/>
        </w:rPr>
        <w:t>100</w:t>
      </w:r>
      <w:r w:rsidR="00CC0726" w:rsidRPr="002541AA">
        <w:rPr>
          <w:rFonts w:cs="Arial"/>
          <w:sz w:val="22"/>
          <w:szCs w:val="22"/>
        </w:rPr>
        <w:t xml:space="preserve"> g pro </w:t>
      </w:r>
      <w:r w:rsidR="00A92659">
        <w:rPr>
          <w:rFonts w:cs="Arial"/>
          <w:sz w:val="22"/>
          <w:szCs w:val="22"/>
        </w:rPr>
        <w:t>Tag</w:t>
      </w:r>
      <w:r w:rsidR="00CC0726" w:rsidRPr="002541AA">
        <w:rPr>
          <w:rFonts w:cs="Arial"/>
          <w:sz w:val="22"/>
          <w:szCs w:val="22"/>
        </w:rPr>
        <w:t xml:space="preserve"> und damit </w:t>
      </w:r>
      <w:r w:rsidRPr="002541AA">
        <w:rPr>
          <w:rFonts w:cs="Arial"/>
          <w:sz w:val="22"/>
          <w:szCs w:val="22"/>
        </w:rPr>
        <w:t>doppelt so</w:t>
      </w:r>
      <w:r w:rsidR="00CC0726" w:rsidRPr="002541AA">
        <w:rPr>
          <w:rFonts w:cs="Arial"/>
          <w:sz w:val="22"/>
          <w:szCs w:val="22"/>
        </w:rPr>
        <w:t xml:space="preserve"> </w:t>
      </w:r>
      <w:r w:rsidRPr="002541AA">
        <w:rPr>
          <w:rFonts w:cs="Arial"/>
          <w:sz w:val="22"/>
          <w:szCs w:val="22"/>
        </w:rPr>
        <w:t xml:space="preserve">viel </w:t>
      </w:r>
      <w:r w:rsidR="00EC60FD" w:rsidRPr="002541AA">
        <w:rPr>
          <w:rFonts w:cs="Arial"/>
          <w:sz w:val="22"/>
          <w:szCs w:val="22"/>
        </w:rPr>
        <w:t>wie Frauen</w:t>
      </w:r>
      <w:r w:rsidR="00CC0726" w:rsidRPr="002541AA">
        <w:rPr>
          <w:rFonts w:cs="Arial"/>
          <w:sz w:val="22"/>
          <w:szCs w:val="22"/>
        </w:rPr>
        <w:t>. Die Deutsche Gesellschaft für Ernährung empfiehlt</w:t>
      </w:r>
      <w:r w:rsidR="00EC60FD" w:rsidRPr="002541AA">
        <w:rPr>
          <w:rFonts w:cs="Arial"/>
          <w:sz w:val="22"/>
          <w:szCs w:val="22"/>
        </w:rPr>
        <w:t>,</w:t>
      </w:r>
      <w:r w:rsidR="00384628" w:rsidRPr="002541AA">
        <w:rPr>
          <w:rFonts w:cs="Arial"/>
          <w:sz w:val="22"/>
          <w:szCs w:val="22"/>
        </w:rPr>
        <w:t xml:space="preserve"> maximal</w:t>
      </w:r>
      <w:r w:rsidR="00EC60FD" w:rsidRPr="002541AA">
        <w:rPr>
          <w:rFonts w:cs="Arial"/>
          <w:sz w:val="22"/>
          <w:szCs w:val="22"/>
        </w:rPr>
        <w:t xml:space="preserve"> </w:t>
      </w:r>
      <w:r w:rsidR="00CC0726" w:rsidRPr="002541AA">
        <w:rPr>
          <w:rFonts w:cs="Arial"/>
          <w:sz w:val="22"/>
          <w:szCs w:val="22"/>
        </w:rPr>
        <w:t>300 – 600 g Fleisch- und Wurstwaren</w:t>
      </w:r>
      <w:r w:rsidR="00384628" w:rsidRPr="002541AA">
        <w:rPr>
          <w:rFonts w:cs="Arial"/>
          <w:sz w:val="22"/>
          <w:szCs w:val="22"/>
        </w:rPr>
        <w:t xml:space="preserve"> pro Woche</w:t>
      </w:r>
      <w:r w:rsidR="00CC0726" w:rsidRPr="002541AA">
        <w:rPr>
          <w:rFonts w:cs="Arial"/>
          <w:sz w:val="22"/>
          <w:szCs w:val="22"/>
        </w:rPr>
        <w:t xml:space="preserve"> zu verzehren</w:t>
      </w:r>
      <w:r w:rsidR="00384628" w:rsidRPr="002541AA">
        <w:rPr>
          <w:rFonts w:cs="Arial"/>
          <w:sz w:val="22"/>
          <w:szCs w:val="22"/>
        </w:rPr>
        <w:t>, das entspricht im Durschnitt ca. 65 g pro Tag</w:t>
      </w:r>
      <w:r w:rsidR="00CC0726" w:rsidRPr="002541AA">
        <w:rPr>
          <w:rFonts w:cs="Arial"/>
          <w:sz w:val="22"/>
          <w:szCs w:val="22"/>
        </w:rPr>
        <w:t xml:space="preserve">. </w:t>
      </w:r>
      <w:r w:rsidRPr="002541AA">
        <w:rPr>
          <w:rFonts w:cs="Arial"/>
          <w:sz w:val="22"/>
          <w:szCs w:val="22"/>
        </w:rPr>
        <w:t xml:space="preserve">Bei pflanzlichen Lebensmitteln </w:t>
      </w:r>
      <w:r w:rsidR="00CC0726" w:rsidRPr="002541AA">
        <w:rPr>
          <w:rFonts w:cs="Arial"/>
          <w:sz w:val="22"/>
          <w:szCs w:val="22"/>
        </w:rPr>
        <w:t xml:space="preserve">- </w:t>
      </w:r>
      <w:r w:rsidRPr="002541AA">
        <w:rPr>
          <w:rFonts w:cs="Arial"/>
          <w:sz w:val="22"/>
          <w:szCs w:val="22"/>
        </w:rPr>
        <w:t xml:space="preserve">insbesondere beim Gemüse </w:t>
      </w:r>
      <w:r w:rsidR="00CC0726" w:rsidRPr="002541AA">
        <w:rPr>
          <w:rFonts w:cs="Arial"/>
          <w:sz w:val="22"/>
          <w:szCs w:val="22"/>
        </w:rPr>
        <w:t xml:space="preserve">- </w:t>
      </w:r>
      <w:r w:rsidRPr="002541AA">
        <w:rPr>
          <w:rFonts w:cs="Arial"/>
          <w:sz w:val="22"/>
          <w:szCs w:val="22"/>
        </w:rPr>
        <w:t>werden die Empfehlungen</w:t>
      </w:r>
      <w:r w:rsidR="0002408A" w:rsidRPr="002541AA">
        <w:rPr>
          <w:rFonts w:cs="Arial"/>
          <w:sz w:val="22"/>
          <w:szCs w:val="22"/>
        </w:rPr>
        <w:t xml:space="preserve"> hingegen</w:t>
      </w:r>
      <w:r w:rsidRPr="002541AA">
        <w:rPr>
          <w:rFonts w:cs="Arial"/>
          <w:sz w:val="22"/>
          <w:szCs w:val="22"/>
        </w:rPr>
        <w:t xml:space="preserve"> </w:t>
      </w:r>
      <w:r w:rsidR="00384628" w:rsidRPr="002541AA">
        <w:rPr>
          <w:rFonts w:cs="Arial"/>
          <w:sz w:val="22"/>
          <w:szCs w:val="22"/>
        </w:rPr>
        <w:t>deutlich unterschritten und nur ca. ein Viertel der empfohlenen 400 g pro Tag verzehrt</w:t>
      </w:r>
      <w:r w:rsidRPr="002541AA">
        <w:rPr>
          <w:rFonts w:cs="Arial"/>
          <w:sz w:val="22"/>
          <w:szCs w:val="22"/>
        </w:rPr>
        <w:t>.</w:t>
      </w:r>
    </w:p>
    <w:p w14:paraId="73386865" w14:textId="3A99A500" w:rsidR="00622C49" w:rsidRPr="002541AA" w:rsidRDefault="00EC60FD" w:rsidP="00BE136B">
      <w:pPr>
        <w:pStyle w:val="Listenabsatz"/>
        <w:numPr>
          <w:ilvl w:val="0"/>
          <w:numId w:val="17"/>
        </w:numPr>
        <w:spacing w:line="276" w:lineRule="auto"/>
        <w:rPr>
          <w:rFonts w:cs="Arial"/>
          <w:sz w:val="22"/>
          <w:szCs w:val="22"/>
        </w:rPr>
      </w:pPr>
      <w:r w:rsidRPr="002541AA">
        <w:rPr>
          <w:rFonts w:cs="Arial"/>
          <w:sz w:val="22"/>
          <w:szCs w:val="22"/>
        </w:rPr>
        <w:t>Zu Nahrungsergänzungsmitteln oder nährstoffhaltigen Medikamenten greifen 28 % der Befragten</w:t>
      </w:r>
      <w:r w:rsidR="00450CE7" w:rsidRPr="002541AA">
        <w:rPr>
          <w:rFonts w:cs="Arial"/>
          <w:sz w:val="22"/>
          <w:szCs w:val="22"/>
        </w:rPr>
        <w:t xml:space="preserve">. </w:t>
      </w:r>
      <w:r w:rsidRPr="002541AA">
        <w:rPr>
          <w:rFonts w:cs="Arial"/>
          <w:sz w:val="22"/>
          <w:szCs w:val="22"/>
        </w:rPr>
        <w:t>Im Alter von 65 bis 80 Jahren werden am meisten Supplemente eingenommen.</w:t>
      </w:r>
    </w:p>
    <w:p w14:paraId="368EC8B6" w14:textId="140F49F6" w:rsidR="00622C49" w:rsidRPr="002541AA" w:rsidRDefault="00622C49" w:rsidP="00BE136B">
      <w:pPr>
        <w:spacing w:line="276" w:lineRule="auto"/>
        <w:rPr>
          <w:rFonts w:cs="Arial"/>
          <w:sz w:val="22"/>
          <w:szCs w:val="22"/>
        </w:rPr>
      </w:pPr>
      <w:r w:rsidRPr="002541AA">
        <w:rPr>
          <w:rFonts w:cs="Arial"/>
          <w:sz w:val="22"/>
          <w:szCs w:val="22"/>
        </w:rPr>
        <w:lastRenderedPageBreak/>
        <w:t>Das Essverhalten am Arbeits</w:t>
      </w:r>
      <w:r w:rsidR="00A647D5" w:rsidRPr="002541AA">
        <w:rPr>
          <w:rFonts w:cs="Arial"/>
          <w:sz w:val="22"/>
          <w:szCs w:val="22"/>
        </w:rPr>
        <w:t>platz wurde im Rahmen der NVS 2</w:t>
      </w:r>
      <w:r w:rsidRPr="002541AA">
        <w:rPr>
          <w:rFonts w:cs="Arial"/>
          <w:sz w:val="22"/>
          <w:szCs w:val="22"/>
        </w:rPr>
        <w:t xml:space="preserve"> nicht explizit untersucht. Die repräsentativen Ergebnisse lassen sich jedoch auch auf den beruflichen Kontext übertragen. </w:t>
      </w:r>
    </w:p>
    <w:p w14:paraId="1BB235A0" w14:textId="77777777" w:rsidR="00A23453" w:rsidRPr="002541AA" w:rsidRDefault="00A23453" w:rsidP="00BE136B">
      <w:pPr>
        <w:spacing w:line="276" w:lineRule="auto"/>
        <w:rPr>
          <w:rFonts w:cs="Arial"/>
          <w:sz w:val="22"/>
          <w:szCs w:val="22"/>
          <w:u w:val="single"/>
        </w:rPr>
      </w:pPr>
    </w:p>
    <w:p w14:paraId="177EF6C1" w14:textId="31D48A6D" w:rsidR="00745B69" w:rsidRPr="002541AA" w:rsidRDefault="00450CE7" w:rsidP="00A92659">
      <w:pPr>
        <w:spacing w:line="360" w:lineRule="auto"/>
        <w:rPr>
          <w:rFonts w:cs="Arial"/>
          <w:sz w:val="22"/>
          <w:szCs w:val="22"/>
          <w:u w:val="single"/>
        </w:rPr>
      </w:pPr>
      <w:r w:rsidRPr="002541AA">
        <w:rPr>
          <w:rFonts w:cs="Arial"/>
          <w:sz w:val="22"/>
          <w:szCs w:val="22"/>
          <w:u w:val="single"/>
        </w:rPr>
        <w:t>Folie 6</w:t>
      </w:r>
      <w:r w:rsidR="00BE136B" w:rsidRPr="002541AA">
        <w:rPr>
          <w:rFonts w:cs="Arial"/>
          <w:sz w:val="22"/>
          <w:szCs w:val="22"/>
          <w:u w:val="single"/>
        </w:rPr>
        <w:t>: Links</w:t>
      </w:r>
    </w:p>
    <w:p w14:paraId="47A452C3" w14:textId="572074E4" w:rsidR="00450CE7" w:rsidRPr="002541AA" w:rsidRDefault="00450CE7" w:rsidP="00BE136B">
      <w:pPr>
        <w:spacing w:line="276" w:lineRule="auto"/>
        <w:rPr>
          <w:rFonts w:cs="Arial"/>
          <w:sz w:val="22"/>
          <w:szCs w:val="22"/>
        </w:rPr>
      </w:pPr>
      <w:r w:rsidRPr="002541AA">
        <w:rPr>
          <w:rFonts w:cs="Arial"/>
          <w:sz w:val="22"/>
          <w:szCs w:val="22"/>
        </w:rPr>
        <w:t xml:space="preserve">Die </w:t>
      </w:r>
      <w:r w:rsidR="00C7346D" w:rsidRPr="002541AA">
        <w:rPr>
          <w:rFonts w:cs="Arial"/>
          <w:sz w:val="22"/>
          <w:szCs w:val="22"/>
        </w:rPr>
        <w:t>PDF-Dateien</w:t>
      </w:r>
      <w:r w:rsidRPr="002541AA">
        <w:rPr>
          <w:rFonts w:cs="Arial"/>
          <w:sz w:val="22"/>
          <w:szCs w:val="22"/>
        </w:rPr>
        <w:t xml:space="preserve"> der </w:t>
      </w:r>
      <w:r w:rsidR="00A647D5" w:rsidRPr="002541AA">
        <w:rPr>
          <w:rFonts w:cs="Arial"/>
          <w:sz w:val="22"/>
          <w:szCs w:val="22"/>
        </w:rPr>
        <w:t>NVS 2</w:t>
      </w:r>
      <w:r w:rsidRPr="002541AA">
        <w:rPr>
          <w:rFonts w:cs="Arial"/>
          <w:sz w:val="22"/>
          <w:szCs w:val="22"/>
        </w:rPr>
        <w:t xml:space="preserve"> </w:t>
      </w:r>
      <w:r w:rsidR="00152834" w:rsidRPr="002541AA">
        <w:rPr>
          <w:rFonts w:cs="Arial"/>
          <w:sz w:val="22"/>
          <w:szCs w:val="22"/>
        </w:rPr>
        <w:t>stehen zum kostenlosen Download zur Verfügung</w:t>
      </w:r>
      <w:r w:rsidRPr="002541AA">
        <w:rPr>
          <w:rFonts w:cs="Arial"/>
          <w:sz w:val="22"/>
          <w:szCs w:val="22"/>
        </w:rPr>
        <w:t xml:space="preserve">. </w:t>
      </w:r>
    </w:p>
    <w:p w14:paraId="63C4A144" w14:textId="14AEF7A4" w:rsidR="00E66E16" w:rsidRPr="002541AA" w:rsidRDefault="00E66E16" w:rsidP="00BE136B">
      <w:pPr>
        <w:spacing w:line="276" w:lineRule="auto"/>
        <w:rPr>
          <w:rFonts w:cs="Arial"/>
          <w:sz w:val="22"/>
          <w:szCs w:val="22"/>
        </w:rPr>
      </w:pPr>
    </w:p>
    <w:p w14:paraId="00B611F7" w14:textId="498B0653" w:rsidR="00E66E16" w:rsidRPr="002541AA" w:rsidRDefault="00667C8E" w:rsidP="00A92659">
      <w:pPr>
        <w:spacing w:line="360" w:lineRule="auto"/>
        <w:rPr>
          <w:rFonts w:cs="Arial"/>
          <w:sz w:val="22"/>
          <w:szCs w:val="22"/>
          <w:u w:val="single"/>
        </w:rPr>
      </w:pPr>
      <w:r w:rsidRPr="002541AA">
        <w:rPr>
          <w:rFonts w:cs="Arial"/>
          <w:sz w:val="22"/>
          <w:szCs w:val="22"/>
          <w:u w:val="single"/>
        </w:rPr>
        <w:t>Folie 8</w:t>
      </w:r>
      <w:r w:rsidR="00BE136B" w:rsidRPr="002541AA">
        <w:rPr>
          <w:rFonts w:cs="Arial"/>
          <w:sz w:val="22"/>
          <w:szCs w:val="22"/>
          <w:u w:val="single"/>
        </w:rPr>
        <w:t>: DEGS1: Studie</w:t>
      </w:r>
    </w:p>
    <w:p w14:paraId="36255360" w14:textId="65AA9E51" w:rsidR="00A23453" w:rsidRPr="002541AA" w:rsidRDefault="0060344C" w:rsidP="00BE136B">
      <w:pPr>
        <w:spacing w:line="276" w:lineRule="auto"/>
        <w:rPr>
          <w:rFonts w:cs="Arial"/>
          <w:sz w:val="22"/>
          <w:szCs w:val="22"/>
        </w:rPr>
      </w:pPr>
      <w:r w:rsidRPr="002541AA">
        <w:rPr>
          <w:rFonts w:cs="Arial"/>
          <w:sz w:val="22"/>
          <w:szCs w:val="22"/>
        </w:rPr>
        <w:t xml:space="preserve">Bei der </w:t>
      </w:r>
      <w:r w:rsidR="004D2ADF" w:rsidRPr="002541AA">
        <w:rPr>
          <w:rFonts w:cs="Arial"/>
          <w:sz w:val="22"/>
          <w:szCs w:val="22"/>
        </w:rPr>
        <w:t xml:space="preserve">„Studie zur Gesundheit Erwachsener in Deutschland“ – kurz: DEGS1 – </w:t>
      </w:r>
      <w:r w:rsidRPr="002541AA">
        <w:rPr>
          <w:rFonts w:cs="Arial"/>
          <w:sz w:val="22"/>
          <w:szCs w:val="22"/>
        </w:rPr>
        <w:t xml:space="preserve">handelt es sich um </w:t>
      </w:r>
      <w:r w:rsidR="00D1541B" w:rsidRPr="002541AA">
        <w:rPr>
          <w:rFonts w:cs="Arial"/>
          <w:sz w:val="22"/>
          <w:szCs w:val="22"/>
        </w:rPr>
        <w:t>eine</w:t>
      </w:r>
      <w:r w:rsidRPr="002541AA">
        <w:rPr>
          <w:rFonts w:cs="Arial"/>
          <w:sz w:val="22"/>
          <w:szCs w:val="22"/>
        </w:rPr>
        <w:t xml:space="preserve"> erste Erhebungswelle</w:t>
      </w:r>
      <w:r w:rsidR="004D2ADF" w:rsidRPr="002541AA">
        <w:rPr>
          <w:rFonts w:cs="Arial"/>
          <w:sz w:val="22"/>
          <w:szCs w:val="22"/>
        </w:rPr>
        <w:t xml:space="preserve"> der Gesundheitsberichterstattung des Robert Koch-Instituts. Sie wurde von 2008 bis 2011 durchgeführt. Ziel war die Gewinnung repräsentativer Daten zum Gesundheitszustand, zum Gesundheitsverhalten und zu gesundheitlichen Risiken</w:t>
      </w:r>
      <w:r w:rsidRPr="002541AA">
        <w:rPr>
          <w:rFonts w:cs="Arial"/>
          <w:sz w:val="22"/>
          <w:szCs w:val="22"/>
        </w:rPr>
        <w:t xml:space="preserve"> von </w:t>
      </w:r>
      <w:r w:rsidR="005F1B87" w:rsidRPr="002541AA">
        <w:rPr>
          <w:rFonts w:cs="Arial"/>
          <w:sz w:val="22"/>
          <w:szCs w:val="22"/>
        </w:rPr>
        <w:t xml:space="preserve">über </w:t>
      </w:r>
      <w:r w:rsidRPr="002541AA">
        <w:rPr>
          <w:rFonts w:cs="Arial"/>
          <w:sz w:val="22"/>
          <w:szCs w:val="22"/>
        </w:rPr>
        <w:t>8.</w:t>
      </w:r>
      <w:r w:rsidR="005F1B87" w:rsidRPr="002541AA">
        <w:rPr>
          <w:rFonts w:cs="Arial"/>
          <w:sz w:val="22"/>
          <w:szCs w:val="22"/>
        </w:rPr>
        <w:t>000</w:t>
      </w:r>
      <w:r w:rsidRPr="002541AA">
        <w:rPr>
          <w:rFonts w:cs="Arial"/>
          <w:sz w:val="22"/>
          <w:szCs w:val="22"/>
        </w:rPr>
        <w:t xml:space="preserve"> Männern und Frauen im Alter von 18 bis </w:t>
      </w:r>
      <w:r w:rsidR="005F1B87" w:rsidRPr="002541AA">
        <w:rPr>
          <w:rFonts w:cs="Arial"/>
          <w:sz w:val="22"/>
          <w:szCs w:val="22"/>
        </w:rPr>
        <w:t>80</w:t>
      </w:r>
      <w:r w:rsidRPr="002541AA">
        <w:rPr>
          <w:rFonts w:cs="Arial"/>
          <w:sz w:val="22"/>
          <w:szCs w:val="22"/>
        </w:rPr>
        <w:t xml:space="preserve"> Jahren. Die Befragten sind zum Teil ehemalige Teilnehmende einer früheren großen Querschnittstudie</w:t>
      </w:r>
      <w:r w:rsidR="00D1541B" w:rsidRPr="002541AA">
        <w:rPr>
          <w:rFonts w:cs="Arial"/>
          <w:sz w:val="22"/>
          <w:szCs w:val="22"/>
        </w:rPr>
        <w:t xml:space="preserve"> des Robert Koch-Institut</w:t>
      </w:r>
      <w:r w:rsidR="006246EE" w:rsidRPr="002541AA">
        <w:rPr>
          <w:rFonts w:cs="Arial"/>
          <w:sz w:val="22"/>
          <w:szCs w:val="22"/>
        </w:rPr>
        <w:t>s</w:t>
      </w:r>
      <w:r w:rsidR="00263AF9" w:rsidRPr="002541AA">
        <w:rPr>
          <w:rFonts w:cs="Arial"/>
          <w:sz w:val="22"/>
          <w:szCs w:val="22"/>
        </w:rPr>
        <w:t>,</w:t>
      </w:r>
      <w:r w:rsidR="00D1541B" w:rsidRPr="002541AA">
        <w:rPr>
          <w:rFonts w:cs="Arial"/>
          <w:sz w:val="22"/>
          <w:szCs w:val="22"/>
        </w:rPr>
        <w:t xml:space="preserve"> und zwar</w:t>
      </w:r>
      <w:r w:rsidRPr="002541AA">
        <w:rPr>
          <w:rFonts w:cs="Arial"/>
          <w:sz w:val="22"/>
          <w:szCs w:val="22"/>
        </w:rPr>
        <w:t xml:space="preserve"> </w:t>
      </w:r>
      <w:r w:rsidR="00D1541B" w:rsidRPr="002541AA">
        <w:rPr>
          <w:rFonts w:cs="Arial"/>
          <w:sz w:val="22"/>
          <w:szCs w:val="22"/>
        </w:rPr>
        <w:t>des Bundes-Gesundheitssurveys von 19</w:t>
      </w:r>
      <w:r w:rsidRPr="002541AA">
        <w:rPr>
          <w:rFonts w:cs="Arial"/>
          <w:sz w:val="22"/>
          <w:szCs w:val="22"/>
        </w:rPr>
        <w:t>98.</w:t>
      </w:r>
    </w:p>
    <w:p w14:paraId="5B1DCC7B" w14:textId="482CC014" w:rsidR="00263AF9" w:rsidRPr="002541AA" w:rsidRDefault="00263AF9" w:rsidP="00BE136B">
      <w:pPr>
        <w:spacing w:line="276" w:lineRule="auto"/>
        <w:rPr>
          <w:rFonts w:cs="Arial"/>
          <w:sz w:val="22"/>
          <w:szCs w:val="22"/>
        </w:rPr>
      </w:pPr>
    </w:p>
    <w:p w14:paraId="61CCDD22" w14:textId="757E7CEF" w:rsidR="00745B69" w:rsidRPr="002541AA" w:rsidRDefault="00263AF9" w:rsidP="00A92659">
      <w:pPr>
        <w:spacing w:line="360" w:lineRule="auto"/>
        <w:rPr>
          <w:rFonts w:cs="Arial"/>
          <w:sz w:val="22"/>
          <w:szCs w:val="22"/>
          <w:u w:val="single"/>
        </w:rPr>
      </w:pPr>
      <w:r w:rsidRPr="002541AA">
        <w:rPr>
          <w:rFonts w:cs="Arial"/>
          <w:sz w:val="22"/>
          <w:szCs w:val="22"/>
          <w:u w:val="single"/>
        </w:rPr>
        <w:t>Folie 9</w:t>
      </w:r>
      <w:r w:rsidR="00BE136B" w:rsidRPr="002541AA">
        <w:rPr>
          <w:rFonts w:cs="Arial"/>
          <w:sz w:val="22"/>
          <w:szCs w:val="22"/>
          <w:u w:val="single"/>
        </w:rPr>
        <w:t>: DEGS1: Ergebnisse</w:t>
      </w:r>
    </w:p>
    <w:p w14:paraId="5B413994" w14:textId="523B32E0" w:rsidR="008E03E3" w:rsidRPr="002541AA" w:rsidRDefault="001B1C36" w:rsidP="00BE136B">
      <w:pPr>
        <w:spacing w:line="276" w:lineRule="auto"/>
        <w:rPr>
          <w:rFonts w:cs="Arial"/>
          <w:sz w:val="22"/>
          <w:szCs w:val="22"/>
        </w:rPr>
      </w:pPr>
      <w:r w:rsidRPr="002541AA">
        <w:rPr>
          <w:rFonts w:cs="Arial"/>
          <w:sz w:val="22"/>
          <w:szCs w:val="22"/>
        </w:rPr>
        <w:t xml:space="preserve">Die wichtigsten Ergebnisse der DEGS1 sind folgende: </w:t>
      </w:r>
    </w:p>
    <w:p w14:paraId="04A98E54" w14:textId="50B4C7C2" w:rsidR="00FE4848" w:rsidRPr="002541AA" w:rsidRDefault="00FE4848" w:rsidP="00BE136B">
      <w:pPr>
        <w:pStyle w:val="Listenabsatz"/>
        <w:widowControl w:val="0"/>
        <w:numPr>
          <w:ilvl w:val="0"/>
          <w:numId w:val="18"/>
        </w:numPr>
        <w:autoSpaceDE w:val="0"/>
        <w:autoSpaceDN w:val="0"/>
        <w:adjustRightInd w:val="0"/>
        <w:spacing w:line="276" w:lineRule="auto"/>
        <w:rPr>
          <w:rFonts w:cs="Arial"/>
          <w:sz w:val="22"/>
          <w:szCs w:val="22"/>
        </w:rPr>
      </w:pPr>
      <w:r w:rsidRPr="002541AA">
        <w:rPr>
          <w:rFonts w:cs="Arial"/>
          <w:sz w:val="22"/>
          <w:szCs w:val="22"/>
        </w:rPr>
        <w:t xml:space="preserve">Etwa ein Drittel der Erwachsenen achtet auf ausreichende körperliche Aktivität und etwa ein Viertel treibt regelmäßig mindestens zwei Stunden Sport pro Woche. Die von der Weltgesundheitsorganisation (WHO) empfohlene Mindestaktivitätszeit von zwei </w:t>
      </w:r>
      <w:proofErr w:type="spellStart"/>
      <w:r w:rsidRPr="002541AA">
        <w:rPr>
          <w:rFonts w:cs="Arial"/>
          <w:sz w:val="22"/>
          <w:szCs w:val="22"/>
        </w:rPr>
        <w:t>einhalb</w:t>
      </w:r>
      <w:proofErr w:type="spellEnd"/>
      <w:r w:rsidRPr="002541AA">
        <w:rPr>
          <w:rFonts w:cs="Arial"/>
          <w:sz w:val="22"/>
          <w:szCs w:val="22"/>
        </w:rPr>
        <w:t xml:space="preserve"> Stunden pro Woche in mäßig anstrengender Intensität erreicht allerdings nur et</w:t>
      </w:r>
      <w:r w:rsidR="00263AF9" w:rsidRPr="002541AA">
        <w:rPr>
          <w:rFonts w:cs="Arial"/>
          <w:sz w:val="22"/>
          <w:szCs w:val="22"/>
        </w:rPr>
        <w:t>wa ein Fünftel der Bevölkerung.</w:t>
      </w:r>
    </w:p>
    <w:p w14:paraId="6D5A4680" w14:textId="22409AF4" w:rsidR="003E3329" w:rsidRPr="002541AA" w:rsidRDefault="001B1C36" w:rsidP="00BE136B">
      <w:pPr>
        <w:pStyle w:val="Listenabsatz"/>
        <w:widowControl w:val="0"/>
        <w:numPr>
          <w:ilvl w:val="0"/>
          <w:numId w:val="18"/>
        </w:numPr>
        <w:autoSpaceDE w:val="0"/>
        <w:autoSpaceDN w:val="0"/>
        <w:adjustRightInd w:val="0"/>
        <w:spacing w:line="276" w:lineRule="auto"/>
        <w:rPr>
          <w:rFonts w:cs="Arial"/>
          <w:sz w:val="22"/>
          <w:szCs w:val="22"/>
        </w:rPr>
      </w:pPr>
      <w:r w:rsidRPr="002541AA">
        <w:rPr>
          <w:rFonts w:cs="Arial"/>
          <w:sz w:val="22"/>
          <w:szCs w:val="22"/>
        </w:rPr>
        <w:t>Nur etwa jeder Zehnte der Befragten verzehrt die empfohlenen 5 P</w:t>
      </w:r>
      <w:r w:rsidR="008E03E3" w:rsidRPr="002541AA">
        <w:rPr>
          <w:rFonts w:cs="Arial"/>
          <w:bCs/>
          <w:sz w:val="22"/>
          <w:szCs w:val="22"/>
        </w:rPr>
        <w:t xml:space="preserve">ortionen Obst und Gemüse </w:t>
      </w:r>
      <w:r w:rsidRPr="002541AA">
        <w:rPr>
          <w:rFonts w:cs="Arial"/>
          <w:bCs/>
          <w:sz w:val="22"/>
          <w:szCs w:val="22"/>
        </w:rPr>
        <w:t xml:space="preserve">pro </w:t>
      </w:r>
      <w:r w:rsidR="008E03E3" w:rsidRPr="002541AA">
        <w:rPr>
          <w:rFonts w:cs="Arial"/>
          <w:bCs/>
          <w:sz w:val="22"/>
          <w:szCs w:val="22"/>
        </w:rPr>
        <w:t>Tag</w:t>
      </w:r>
      <w:r w:rsidRPr="002541AA">
        <w:rPr>
          <w:rFonts w:cs="Arial"/>
          <w:bCs/>
          <w:sz w:val="22"/>
          <w:szCs w:val="22"/>
        </w:rPr>
        <w:t xml:space="preserve">. </w:t>
      </w:r>
    </w:p>
    <w:p w14:paraId="6ADA8D87" w14:textId="186DE064" w:rsidR="003E3329" w:rsidRPr="002541AA" w:rsidRDefault="008E03E3" w:rsidP="00BE136B">
      <w:pPr>
        <w:pStyle w:val="Listenabsatz"/>
        <w:widowControl w:val="0"/>
        <w:numPr>
          <w:ilvl w:val="0"/>
          <w:numId w:val="18"/>
        </w:numPr>
        <w:autoSpaceDE w:val="0"/>
        <w:autoSpaceDN w:val="0"/>
        <w:adjustRightInd w:val="0"/>
        <w:spacing w:line="276" w:lineRule="auto"/>
        <w:rPr>
          <w:rFonts w:cs="Arial"/>
          <w:sz w:val="22"/>
          <w:szCs w:val="22"/>
        </w:rPr>
      </w:pPr>
      <w:r w:rsidRPr="002541AA">
        <w:rPr>
          <w:rFonts w:cs="Arial"/>
          <w:bCs/>
          <w:sz w:val="22"/>
          <w:szCs w:val="22"/>
        </w:rPr>
        <w:t>Im Dur</w:t>
      </w:r>
      <w:r w:rsidR="00373A09" w:rsidRPr="002541AA">
        <w:rPr>
          <w:rFonts w:cs="Arial"/>
          <w:bCs/>
          <w:sz w:val="22"/>
          <w:szCs w:val="22"/>
        </w:rPr>
        <w:t>ch</w:t>
      </w:r>
      <w:r w:rsidRPr="002541AA">
        <w:rPr>
          <w:rFonts w:cs="Arial"/>
          <w:bCs/>
          <w:sz w:val="22"/>
          <w:szCs w:val="22"/>
        </w:rPr>
        <w:t xml:space="preserve">schnitt </w:t>
      </w:r>
      <w:r w:rsidR="00BB7EC6" w:rsidRPr="002541AA">
        <w:rPr>
          <w:rFonts w:cs="Arial"/>
          <w:bCs/>
          <w:sz w:val="22"/>
          <w:szCs w:val="22"/>
        </w:rPr>
        <w:t xml:space="preserve">leiden </w:t>
      </w:r>
      <w:r w:rsidR="001B1C36" w:rsidRPr="002541AA">
        <w:rPr>
          <w:rFonts w:cs="Arial"/>
          <w:bCs/>
          <w:sz w:val="22"/>
          <w:szCs w:val="22"/>
        </w:rPr>
        <w:t xml:space="preserve">fast 5 % </w:t>
      </w:r>
      <w:r w:rsidRPr="002541AA">
        <w:rPr>
          <w:rFonts w:cs="Arial"/>
          <w:bCs/>
          <w:sz w:val="22"/>
          <w:szCs w:val="22"/>
        </w:rPr>
        <w:t>der 40- bis 79-Jährigen unte</w:t>
      </w:r>
      <w:r w:rsidR="001B1C36" w:rsidRPr="002541AA">
        <w:rPr>
          <w:rFonts w:cs="Arial"/>
          <w:bCs/>
          <w:sz w:val="22"/>
          <w:szCs w:val="22"/>
        </w:rPr>
        <w:t xml:space="preserve">r einer koronaren Herzkrankheit; z. B. an einem </w:t>
      </w:r>
      <w:r w:rsidR="00304EAA" w:rsidRPr="002541AA">
        <w:rPr>
          <w:rFonts w:cs="Arial"/>
          <w:bCs/>
          <w:sz w:val="22"/>
          <w:szCs w:val="22"/>
        </w:rPr>
        <w:t>Herzinfarkt</w:t>
      </w:r>
      <w:r w:rsidRPr="002541AA">
        <w:rPr>
          <w:rFonts w:cs="Arial"/>
          <w:bCs/>
          <w:sz w:val="22"/>
          <w:szCs w:val="22"/>
        </w:rPr>
        <w:t>. Männer in dieser Altersgruppe sind fast dreimal so häufig be</w:t>
      </w:r>
      <w:r w:rsidR="00304EAA" w:rsidRPr="002541AA">
        <w:rPr>
          <w:rFonts w:cs="Arial"/>
          <w:bCs/>
          <w:sz w:val="22"/>
          <w:szCs w:val="22"/>
        </w:rPr>
        <w:t>troffen wie Frauen</w:t>
      </w:r>
      <w:r w:rsidRPr="002541AA">
        <w:rPr>
          <w:rFonts w:cs="Arial"/>
          <w:bCs/>
          <w:sz w:val="22"/>
          <w:szCs w:val="22"/>
        </w:rPr>
        <w:t>.</w:t>
      </w:r>
    </w:p>
    <w:p w14:paraId="7F546609" w14:textId="495C314A" w:rsidR="003E3329" w:rsidRPr="002541AA" w:rsidRDefault="00FE7331" w:rsidP="00BE136B">
      <w:pPr>
        <w:pStyle w:val="Listenabsatz"/>
        <w:widowControl w:val="0"/>
        <w:numPr>
          <w:ilvl w:val="0"/>
          <w:numId w:val="18"/>
        </w:numPr>
        <w:autoSpaceDE w:val="0"/>
        <w:autoSpaceDN w:val="0"/>
        <w:adjustRightInd w:val="0"/>
        <w:spacing w:line="276" w:lineRule="auto"/>
        <w:rPr>
          <w:rFonts w:cs="Arial"/>
          <w:sz w:val="22"/>
          <w:szCs w:val="22"/>
        </w:rPr>
      </w:pPr>
      <w:r w:rsidRPr="002541AA">
        <w:rPr>
          <w:rFonts w:cs="Arial"/>
          <w:sz w:val="22"/>
          <w:szCs w:val="22"/>
        </w:rPr>
        <w:t xml:space="preserve">Bei </w:t>
      </w:r>
      <w:r w:rsidR="00304EAA" w:rsidRPr="002541AA">
        <w:rPr>
          <w:rFonts w:cs="Arial"/>
          <w:sz w:val="22"/>
          <w:szCs w:val="22"/>
        </w:rPr>
        <w:t xml:space="preserve">etwa </w:t>
      </w:r>
      <w:r w:rsidRPr="002541AA">
        <w:rPr>
          <w:rFonts w:cs="Arial"/>
          <w:sz w:val="22"/>
          <w:szCs w:val="22"/>
        </w:rPr>
        <w:t xml:space="preserve">7 % der Erwachsenen wurde </w:t>
      </w:r>
      <w:r w:rsidR="00BB7EC6" w:rsidRPr="002541AA">
        <w:rPr>
          <w:rFonts w:cs="Arial"/>
          <w:sz w:val="22"/>
          <w:szCs w:val="22"/>
        </w:rPr>
        <w:t xml:space="preserve">im Laufe des Lebens schon einmal </w:t>
      </w:r>
      <w:r w:rsidRPr="002541AA">
        <w:rPr>
          <w:rFonts w:cs="Arial"/>
          <w:sz w:val="22"/>
          <w:szCs w:val="22"/>
        </w:rPr>
        <w:t>ein Dia</w:t>
      </w:r>
      <w:r w:rsidR="008E03E3" w:rsidRPr="002541AA">
        <w:rPr>
          <w:rFonts w:cs="Arial"/>
          <w:sz w:val="22"/>
          <w:szCs w:val="22"/>
        </w:rPr>
        <w:t>betes mellitus diagnostiziert</w:t>
      </w:r>
      <w:r w:rsidR="00304EAA" w:rsidRPr="002541AA">
        <w:rPr>
          <w:rFonts w:cs="Arial"/>
          <w:sz w:val="22"/>
          <w:szCs w:val="22"/>
        </w:rPr>
        <w:t>. D</w:t>
      </w:r>
      <w:r w:rsidR="008E03E3" w:rsidRPr="002541AA">
        <w:rPr>
          <w:rFonts w:cs="Arial"/>
          <w:sz w:val="22"/>
          <w:szCs w:val="22"/>
        </w:rPr>
        <w:t>ie</w:t>
      </w:r>
      <w:r w:rsidRPr="002541AA">
        <w:rPr>
          <w:rFonts w:cs="Arial"/>
          <w:sz w:val="22"/>
          <w:szCs w:val="22"/>
        </w:rPr>
        <w:t xml:space="preserve"> Prävalenz </w:t>
      </w:r>
      <w:r w:rsidR="00304EAA" w:rsidRPr="002541AA">
        <w:rPr>
          <w:rFonts w:cs="Arial"/>
          <w:sz w:val="22"/>
          <w:szCs w:val="22"/>
        </w:rPr>
        <w:t xml:space="preserve">steigt </w:t>
      </w:r>
      <w:r w:rsidRPr="002541AA">
        <w:rPr>
          <w:rFonts w:cs="Arial"/>
          <w:sz w:val="22"/>
          <w:szCs w:val="22"/>
        </w:rPr>
        <w:t xml:space="preserve">mit zunehmendem Alter deutlich an. </w:t>
      </w:r>
      <w:r w:rsidR="00304EAA" w:rsidRPr="002541AA">
        <w:rPr>
          <w:rFonts w:cs="Arial"/>
          <w:sz w:val="22"/>
          <w:szCs w:val="22"/>
        </w:rPr>
        <w:t xml:space="preserve">Menschen </w:t>
      </w:r>
      <w:r w:rsidRPr="002541AA">
        <w:rPr>
          <w:rFonts w:cs="Arial"/>
          <w:sz w:val="22"/>
          <w:szCs w:val="22"/>
        </w:rPr>
        <w:t xml:space="preserve">mit niedrigem Sozialstatus </w:t>
      </w:r>
      <w:r w:rsidR="00304EAA" w:rsidRPr="002541AA">
        <w:rPr>
          <w:rFonts w:cs="Arial"/>
          <w:sz w:val="22"/>
          <w:szCs w:val="22"/>
        </w:rPr>
        <w:t xml:space="preserve">sind </w:t>
      </w:r>
      <w:r w:rsidRPr="002541AA">
        <w:rPr>
          <w:rFonts w:cs="Arial"/>
          <w:sz w:val="22"/>
          <w:szCs w:val="22"/>
        </w:rPr>
        <w:t xml:space="preserve">deutlich häufiger </w:t>
      </w:r>
      <w:r w:rsidR="00304EAA" w:rsidRPr="002541AA">
        <w:rPr>
          <w:rFonts w:cs="Arial"/>
          <w:sz w:val="22"/>
          <w:szCs w:val="22"/>
        </w:rPr>
        <w:t xml:space="preserve">betroffen als Menschen mit einem </w:t>
      </w:r>
      <w:r w:rsidRPr="002541AA">
        <w:rPr>
          <w:rFonts w:cs="Arial"/>
          <w:sz w:val="22"/>
          <w:szCs w:val="22"/>
        </w:rPr>
        <w:t>mit</w:t>
      </w:r>
      <w:r w:rsidR="00304EAA" w:rsidRPr="002541AA">
        <w:rPr>
          <w:rFonts w:cs="Arial"/>
          <w:sz w:val="22"/>
          <w:szCs w:val="22"/>
        </w:rPr>
        <w:t>tlere</w:t>
      </w:r>
      <w:r w:rsidR="00BB7EC6" w:rsidRPr="002541AA">
        <w:rPr>
          <w:rFonts w:cs="Arial"/>
          <w:sz w:val="22"/>
          <w:szCs w:val="22"/>
        </w:rPr>
        <w:t>n</w:t>
      </w:r>
      <w:r w:rsidR="00304EAA" w:rsidRPr="002541AA">
        <w:rPr>
          <w:rFonts w:cs="Arial"/>
          <w:sz w:val="22"/>
          <w:szCs w:val="22"/>
        </w:rPr>
        <w:t xml:space="preserve"> oder hohen</w:t>
      </w:r>
      <w:r w:rsidR="009710C7" w:rsidRPr="002541AA">
        <w:rPr>
          <w:rFonts w:cs="Arial"/>
          <w:sz w:val="22"/>
          <w:szCs w:val="22"/>
        </w:rPr>
        <w:t xml:space="preserve"> Sozialstatus.</w:t>
      </w:r>
    </w:p>
    <w:p w14:paraId="6372C819" w14:textId="4D3AAE84" w:rsidR="003E3329" w:rsidRPr="002541AA" w:rsidRDefault="009710C7" w:rsidP="00BE136B">
      <w:pPr>
        <w:pStyle w:val="Listenabsatz"/>
        <w:widowControl w:val="0"/>
        <w:numPr>
          <w:ilvl w:val="0"/>
          <w:numId w:val="18"/>
        </w:numPr>
        <w:autoSpaceDE w:val="0"/>
        <w:autoSpaceDN w:val="0"/>
        <w:adjustRightInd w:val="0"/>
        <w:spacing w:line="276" w:lineRule="auto"/>
        <w:rPr>
          <w:rFonts w:cs="Arial"/>
          <w:sz w:val="22"/>
          <w:szCs w:val="22"/>
        </w:rPr>
      </w:pPr>
      <w:r w:rsidRPr="002541AA">
        <w:rPr>
          <w:rFonts w:cs="Arial"/>
          <w:bCs/>
          <w:sz w:val="22"/>
          <w:szCs w:val="22"/>
        </w:rPr>
        <w:t xml:space="preserve">Fettstoffwechselstörungen </w:t>
      </w:r>
      <w:r w:rsidR="00304EAA" w:rsidRPr="002541AA">
        <w:rPr>
          <w:rFonts w:cs="Arial"/>
          <w:bCs/>
          <w:sz w:val="22"/>
          <w:szCs w:val="22"/>
        </w:rPr>
        <w:t xml:space="preserve">treten </w:t>
      </w:r>
      <w:r w:rsidR="00D1541B" w:rsidRPr="002541AA">
        <w:rPr>
          <w:rFonts w:cs="Arial"/>
          <w:bCs/>
          <w:sz w:val="22"/>
          <w:szCs w:val="22"/>
        </w:rPr>
        <w:t xml:space="preserve">gleichermaßen </w:t>
      </w:r>
      <w:r w:rsidR="00304EAA" w:rsidRPr="002541AA">
        <w:rPr>
          <w:rFonts w:cs="Arial"/>
          <w:bCs/>
          <w:sz w:val="22"/>
          <w:szCs w:val="22"/>
        </w:rPr>
        <w:t xml:space="preserve">bei </w:t>
      </w:r>
      <w:r w:rsidR="00BB7EC6" w:rsidRPr="002541AA">
        <w:rPr>
          <w:rFonts w:cs="Arial"/>
          <w:bCs/>
          <w:sz w:val="22"/>
          <w:szCs w:val="22"/>
        </w:rPr>
        <w:t>knapp zwei Drittel der b</w:t>
      </w:r>
      <w:r w:rsidRPr="002541AA">
        <w:rPr>
          <w:rFonts w:cs="Arial"/>
          <w:bCs/>
          <w:sz w:val="22"/>
          <w:szCs w:val="22"/>
        </w:rPr>
        <w:t>efragten</w:t>
      </w:r>
      <w:r w:rsidR="00304EAA" w:rsidRPr="002541AA">
        <w:rPr>
          <w:rFonts w:cs="Arial"/>
          <w:bCs/>
          <w:sz w:val="22"/>
          <w:szCs w:val="22"/>
        </w:rPr>
        <w:t xml:space="preserve"> </w:t>
      </w:r>
      <w:r w:rsidR="00BB7EC6" w:rsidRPr="002541AA">
        <w:rPr>
          <w:rFonts w:cs="Arial"/>
          <w:bCs/>
          <w:sz w:val="22"/>
          <w:szCs w:val="22"/>
        </w:rPr>
        <w:t xml:space="preserve">Frauen und Männer </w:t>
      </w:r>
      <w:r w:rsidR="00304EAA" w:rsidRPr="002541AA">
        <w:rPr>
          <w:rFonts w:cs="Arial"/>
          <w:bCs/>
          <w:sz w:val="22"/>
          <w:szCs w:val="22"/>
        </w:rPr>
        <w:t>auf</w:t>
      </w:r>
      <w:r w:rsidRPr="002541AA">
        <w:rPr>
          <w:rFonts w:cs="Arial"/>
          <w:bCs/>
          <w:sz w:val="22"/>
          <w:szCs w:val="22"/>
        </w:rPr>
        <w:t>.</w:t>
      </w:r>
    </w:p>
    <w:p w14:paraId="43E8AB2E" w14:textId="7D338CCF" w:rsidR="00304EAA" w:rsidRPr="002541AA" w:rsidRDefault="00FE7331" w:rsidP="00BE136B">
      <w:pPr>
        <w:pStyle w:val="Listenabsatz"/>
        <w:widowControl w:val="0"/>
        <w:numPr>
          <w:ilvl w:val="0"/>
          <w:numId w:val="18"/>
        </w:numPr>
        <w:autoSpaceDE w:val="0"/>
        <w:autoSpaceDN w:val="0"/>
        <w:adjustRightInd w:val="0"/>
        <w:spacing w:line="276" w:lineRule="auto"/>
        <w:rPr>
          <w:rFonts w:cs="Arial"/>
          <w:sz w:val="22"/>
          <w:szCs w:val="22"/>
        </w:rPr>
      </w:pPr>
      <w:r w:rsidRPr="002541AA">
        <w:rPr>
          <w:rFonts w:cs="Arial"/>
          <w:sz w:val="22"/>
          <w:szCs w:val="22"/>
        </w:rPr>
        <w:t>Übergewicht und Adipositas</w:t>
      </w:r>
      <w:r w:rsidR="009710C7" w:rsidRPr="002541AA">
        <w:rPr>
          <w:rFonts w:cs="Arial"/>
          <w:sz w:val="22"/>
          <w:szCs w:val="22"/>
        </w:rPr>
        <w:t xml:space="preserve"> betr</w:t>
      </w:r>
      <w:r w:rsidR="00304EAA" w:rsidRPr="002541AA">
        <w:rPr>
          <w:rFonts w:cs="Arial"/>
          <w:sz w:val="22"/>
          <w:szCs w:val="22"/>
        </w:rPr>
        <w:t>effen</w:t>
      </w:r>
      <w:r w:rsidR="009710C7" w:rsidRPr="002541AA">
        <w:rPr>
          <w:rFonts w:cs="Arial"/>
          <w:sz w:val="22"/>
          <w:szCs w:val="22"/>
        </w:rPr>
        <w:t xml:space="preserve"> einen ähnlich hohen Anteil der erwachsenen Bevölkerung. So sind </w:t>
      </w:r>
      <w:r w:rsidRPr="002541AA">
        <w:rPr>
          <w:rFonts w:cs="Arial"/>
          <w:sz w:val="22"/>
          <w:szCs w:val="22"/>
        </w:rPr>
        <w:t>67 % der Männer und 53 % der Frauen übergewichtig</w:t>
      </w:r>
      <w:r w:rsidR="009710C7" w:rsidRPr="002541AA">
        <w:rPr>
          <w:rFonts w:cs="Arial"/>
          <w:sz w:val="22"/>
          <w:szCs w:val="22"/>
        </w:rPr>
        <w:t xml:space="preserve"> oder adipös. Der prozentuale Anteil der Adipösen ist </w:t>
      </w:r>
      <w:r w:rsidR="00304EAA" w:rsidRPr="002541AA">
        <w:rPr>
          <w:rFonts w:cs="Arial"/>
          <w:sz w:val="22"/>
          <w:szCs w:val="22"/>
        </w:rPr>
        <w:t xml:space="preserve">in den letzten Jahren insbesondere bei jungen Männern </w:t>
      </w:r>
      <w:r w:rsidR="009710C7" w:rsidRPr="002541AA">
        <w:rPr>
          <w:rFonts w:cs="Arial"/>
          <w:sz w:val="22"/>
          <w:szCs w:val="22"/>
        </w:rPr>
        <w:t>stark gestiegen</w:t>
      </w:r>
      <w:r w:rsidR="00304EAA" w:rsidRPr="002541AA">
        <w:rPr>
          <w:rFonts w:cs="Arial"/>
          <w:sz w:val="22"/>
          <w:szCs w:val="22"/>
        </w:rPr>
        <w:t xml:space="preserve">. </w:t>
      </w:r>
    </w:p>
    <w:p w14:paraId="01475E8D" w14:textId="1E90B6E4" w:rsidR="009710C7" w:rsidRPr="002541AA" w:rsidRDefault="00D1541B" w:rsidP="00BE136B">
      <w:pPr>
        <w:spacing w:line="276" w:lineRule="auto"/>
        <w:rPr>
          <w:rFonts w:cs="Arial"/>
          <w:sz w:val="22"/>
          <w:szCs w:val="22"/>
        </w:rPr>
      </w:pPr>
      <w:r w:rsidRPr="002541AA">
        <w:rPr>
          <w:rFonts w:cs="Arial"/>
          <w:sz w:val="22"/>
          <w:szCs w:val="22"/>
        </w:rPr>
        <w:t>D</w:t>
      </w:r>
      <w:r w:rsidR="00304EAA" w:rsidRPr="002541AA">
        <w:rPr>
          <w:rFonts w:cs="Arial"/>
          <w:sz w:val="22"/>
          <w:szCs w:val="22"/>
        </w:rPr>
        <w:t>ie</w:t>
      </w:r>
      <w:r w:rsidRPr="002541AA">
        <w:rPr>
          <w:rFonts w:cs="Arial"/>
          <w:sz w:val="22"/>
          <w:szCs w:val="22"/>
        </w:rPr>
        <w:t xml:space="preserve"> Daten </w:t>
      </w:r>
      <w:r w:rsidR="00304EAA" w:rsidRPr="002541AA">
        <w:rPr>
          <w:rFonts w:cs="Arial"/>
          <w:sz w:val="22"/>
          <w:szCs w:val="22"/>
        </w:rPr>
        <w:t xml:space="preserve">zeigen, </w:t>
      </w:r>
      <w:r w:rsidR="009710C7" w:rsidRPr="002541AA">
        <w:rPr>
          <w:rFonts w:cs="Arial"/>
          <w:sz w:val="22"/>
          <w:szCs w:val="22"/>
        </w:rPr>
        <w:t>dass eine geringe körperliche Aktivität und ein unzureichender Obst- und Gemüsekonsum mit einem erhöhten Risiko für Übergewicht bzw. Adipositas, Diabetes, koronaren Herzkrankheite</w:t>
      </w:r>
      <w:r w:rsidR="00217635" w:rsidRPr="002541AA">
        <w:rPr>
          <w:rFonts w:cs="Arial"/>
          <w:sz w:val="22"/>
          <w:szCs w:val="22"/>
        </w:rPr>
        <w:t>n und Fettstoffwechselstörungen</w:t>
      </w:r>
      <w:r w:rsidR="009710C7" w:rsidRPr="002541AA">
        <w:rPr>
          <w:rFonts w:cs="Arial"/>
          <w:sz w:val="22"/>
          <w:szCs w:val="22"/>
        </w:rPr>
        <w:t xml:space="preserve"> korrelieren.</w:t>
      </w:r>
    </w:p>
    <w:p w14:paraId="2CB0758C" w14:textId="77777777" w:rsidR="00A92659" w:rsidRPr="002541AA" w:rsidRDefault="00A92659" w:rsidP="00BE136B">
      <w:pPr>
        <w:spacing w:line="276" w:lineRule="auto"/>
        <w:rPr>
          <w:rFonts w:cs="Arial"/>
          <w:sz w:val="22"/>
          <w:szCs w:val="22"/>
          <w:u w:val="single"/>
        </w:rPr>
      </w:pPr>
    </w:p>
    <w:p w14:paraId="3F98EADA" w14:textId="108BD46A" w:rsidR="001B1C36" w:rsidRPr="002541AA" w:rsidRDefault="00304EAA" w:rsidP="00A92659">
      <w:pPr>
        <w:spacing w:line="360" w:lineRule="auto"/>
        <w:rPr>
          <w:rFonts w:cs="Arial"/>
          <w:sz w:val="22"/>
          <w:szCs w:val="22"/>
          <w:u w:val="single"/>
        </w:rPr>
      </w:pPr>
      <w:r w:rsidRPr="002541AA">
        <w:rPr>
          <w:rFonts w:cs="Arial"/>
          <w:sz w:val="22"/>
          <w:szCs w:val="22"/>
          <w:u w:val="single"/>
        </w:rPr>
        <w:t>Folie 10</w:t>
      </w:r>
      <w:r w:rsidR="00BE136B" w:rsidRPr="002541AA">
        <w:rPr>
          <w:rFonts w:cs="Arial"/>
          <w:sz w:val="22"/>
          <w:szCs w:val="22"/>
          <w:u w:val="single"/>
        </w:rPr>
        <w:t>: Links</w:t>
      </w:r>
    </w:p>
    <w:p w14:paraId="7206A16B" w14:textId="1F3F66E6" w:rsidR="001B1C36" w:rsidRPr="002541AA" w:rsidRDefault="001B1C36" w:rsidP="00BE136B">
      <w:pPr>
        <w:spacing w:line="276" w:lineRule="auto"/>
        <w:rPr>
          <w:rFonts w:cs="Arial"/>
          <w:sz w:val="22"/>
          <w:szCs w:val="22"/>
        </w:rPr>
      </w:pPr>
      <w:r w:rsidRPr="002541AA">
        <w:rPr>
          <w:rFonts w:cs="Arial"/>
          <w:sz w:val="22"/>
          <w:szCs w:val="22"/>
        </w:rPr>
        <w:t>Die Ergebnisse der DEGS1 wurden 2013 im Bundesgesundheitsblatt veröffentlicht.</w:t>
      </w:r>
      <w:r w:rsidR="00263AF9" w:rsidRPr="002541AA">
        <w:rPr>
          <w:rFonts w:cs="Arial"/>
          <w:sz w:val="22"/>
          <w:szCs w:val="22"/>
        </w:rPr>
        <w:t xml:space="preserve"> Die</w:t>
      </w:r>
      <w:r w:rsidRPr="002541AA">
        <w:rPr>
          <w:rFonts w:cs="Arial"/>
          <w:sz w:val="22"/>
          <w:szCs w:val="22"/>
        </w:rPr>
        <w:t xml:space="preserve"> </w:t>
      </w:r>
      <w:r w:rsidR="00667C8E" w:rsidRPr="002541AA">
        <w:rPr>
          <w:rFonts w:cs="Arial"/>
          <w:sz w:val="22"/>
          <w:szCs w:val="22"/>
        </w:rPr>
        <w:t>PDF</w:t>
      </w:r>
      <w:r w:rsidR="00263AF9" w:rsidRPr="002541AA">
        <w:rPr>
          <w:rFonts w:cs="Arial"/>
          <w:sz w:val="22"/>
          <w:szCs w:val="22"/>
        </w:rPr>
        <w:t xml:space="preserve">-Dateien </w:t>
      </w:r>
      <w:r w:rsidR="00304EAA" w:rsidRPr="002541AA">
        <w:rPr>
          <w:rFonts w:cs="Arial"/>
          <w:sz w:val="22"/>
          <w:szCs w:val="22"/>
        </w:rPr>
        <w:t xml:space="preserve">stehen </w:t>
      </w:r>
      <w:r w:rsidR="00BB7EC6" w:rsidRPr="002541AA">
        <w:rPr>
          <w:rFonts w:cs="Arial"/>
          <w:sz w:val="22"/>
          <w:szCs w:val="22"/>
        </w:rPr>
        <w:t xml:space="preserve">zum </w:t>
      </w:r>
      <w:r w:rsidR="00304EAA" w:rsidRPr="002541AA">
        <w:rPr>
          <w:rFonts w:cs="Arial"/>
          <w:sz w:val="22"/>
          <w:szCs w:val="22"/>
        </w:rPr>
        <w:t>kosten</w:t>
      </w:r>
      <w:r w:rsidR="00667C8E" w:rsidRPr="002541AA">
        <w:rPr>
          <w:rFonts w:cs="Arial"/>
          <w:sz w:val="22"/>
          <w:szCs w:val="22"/>
        </w:rPr>
        <w:t>losen D</w:t>
      </w:r>
      <w:r w:rsidR="00BB7EC6" w:rsidRPr="002541AA">
        <w:rPr>
          <w:rFonts w:cs="Arial"/>
          <w:sz w:val="22"/>
          <w:szCs w:val="22"/>
        </w:rPr>
        <w:t xml:space="preserve">ownload </w:t>
      </w:r>
      <w:r w:rsidR="00304EAA" w:rsidRPr="002541AA">
        <w:rPr>
          <w:rFonts w:cs="Arial"/>
          <w:sz w:val="22"/>
          <w:szCs w:val="22"/>
        </w:rPr>
        <w:t xml:space="preserve">zur Verfügung. </w:t>
      </w:r>
    </w:p>
    <w:p w14:paraId="2BD23400" w14:textId="77777777" w:rsidR="001B1C36" w:rsidRPr="002541AA" w:rsidRDefault="001B1C36" w:rsidP="00BE136B">
      <w:pPr>
        <w:spacing w:line="276" w:lineRule="auto"/>
        <w:rPr>
          <w:rFonts w:cs="Arial"/>
          <w:sz w:val="22"/>
          <w:szCs w:val="22"/>
          <w:u w:val="single"/>
        </w:rPr>
      </w:pPr>
    </w:p>
    <w:p w14:paraId="08BE832B" w14:textId="5F609616" w:rsidR="00304EAA" w:rsidRPr="002541AA" w:rsidRDefault="00745B69" w:rsidP="00A92659">
      <w:pPr>
        <w:spacing w:line="360" w:lineRule="auto"/>
        <w:rPr>
          <w:rFonts w:cs="Arial"/>
          <w:sz w:val="22"/>
          <w:szCs w:val="22"/>
          <w:u w:val="single"/>
        </w:rPr>
      </w:pPr>
      <w:r w:rsidRPr="002541AA">
        <w:rPr>
          <w:rFonts w:cs="Arial"/>
          <w:sz w:val="22"/>
          <w:szCs w:val="22"/>
          <w:u w:val="single"/>
        </w:rPr>
        <w:t>Folie 1</w:t>
      </w:r>
      <w:r w:rsidR="00C01D36" w:rsidRPr="002541AA">
        <w:rPr>
          <w:rFonts w:cs="Arial"/>
          <w:sz w:val="22"/>
          <w:szCs w:val="22"/>
          <w:u w:val="single"/>
        </w:rPr>
        <w:t>2</w:t>
      </w:r>
      <w:r w:rsidR="00BE136B" w:rsidRPr="002541AA">
        <w:rPr>
          <w:rFonts w:cs="Arial"/>
          <w:sz w:val="22"/>
          <w:szCs w:val="22"/>
          <w:u w:val="single"/>
        </w:rPr>
        <w:t>: GEDA: Studie</w:t>
      </w:r>
    </w:p>
    <w:p w14:paraId="60A480E8" w14:textId="5E5B4D69" w:rsidR="00BB7EC6" w:rsidRPr="002541AA" w:rsidRDefault="00701AE5" w:rsidP="00BE136B">
      <w:pPr>
        <w:spacing w:line="276" w:lineRule="auto"/>
        <w:rPr>
          <w:rFonts w:cs="Arial"/>
          <w:sz w:val="22"/>
          <w:szCs w:val="22"/>
        </w:rPr>
      </w:pPr>
      <w:r w:rsidRPr="002541AA">
        <w:rPr>
          <w:rFonts w:cs="Arial"/>
          <w:sz w:val="22"/>
          <w:szCs w:val="22"/>
        </w:rPr>
        <w:lastRenderedPageBreak/>
        <w:t xml:space="preserve">Die </w:t>
      </w:r>
      <w:r w:rsidR="00005B6B" w:rsidRPr="002541AA">
        <w:rPr>
          <w:rFonts w:cs="Arial"/>
          <w:sz w:val="22"/>
          <w:szCs w:val="22"/>
        </w:rPr>
        <w:t xml:space="preserve">Studie „Gesundheit in Deutschland aktuell“ – kurz: GEDA – </w:t>
      </w:r>
      <w:r w:rsidRPr="002541AA">
        <w:rPr>
          <w:rFonts w:cs="Arial"/>
          <w:sz w:val="22"/>
          <w:szCs w:val="22"/>
        </w:rPr>
        <w:t>ist eine regelmäßig stattfindende Querschnittsbefragung von Teilnehmerinnen und Teilnehmern ab 15 Jahren in Deutschland. Sie ergänzt die Studienergebnisse der DEGS</w:t>
      </w:r>
      <w:r w:rsidR="00263AF9" w:rsidRPr="002541AA">
        <w:rPr>
          <w:rFonts w:cs="Arial"/>
          <w:sz w:val="22"/>
          <w:szCs w:val="22"/>
        </w:rPr>
        <w:t>1</w:t>
      </w:r>
      <w:r w:rsidRPr="002541AA">
        <w:rPr>
          <w:rFonts w:cs="Arial"/>
          <w:sz w:val="22"/>
          <w:szCs w:val="22"/>
        </w:rPr>
        <w:t xml:space="preserve">-Längsschnittbefragung. </w:t>
      </w:r>
    </w:p>
    <w:p w14:paraId="0D87BA12" w14:textId="335BCC44" w:rsidR="004434CB" w:rsidRDefault="00701AE5" w:rsidP="00BE136B">
      <w:pPr>
        <w:spacing w:line="276" w:lineRule="auto"/>
        <w:rPr>
          <w:rFonts w:cs="Arial"/>
          <w:sz w:val="22"/>
          <w:szCs w:val="22"/>
        </w:rPr>
      </w:pPr>
      <w:r w:rsidRPr="002541AA">
        <w:rPr>
          <w:rFonts w:cs="Arial"/>
          <w:sz w:val="22"/>
          <w:szCs w:val="22"/>
        </w:rPr>
        <w:t xml:space="preserve">Die 4. Welle der GEDA-Befragung </w:t>
      </w:r>
      <w:r w:rsidR="00BB7EC6" w:rsidRPr="002541AA">
        <w:rPr>
          <w:rFonts w:cs="Arial"/>
          <w:sz w:val="22"/>
          <w:szCs w:val="22"/>
        </w:rPr>
        <w:t xml:space="preserve">von </w:t>
      </w:r>
      <w:r w:rsidR="005F1B87" w:rsidRPr="002541AA">
        <w:rPr>
          <w:rFonts w:cs="Arial"/>
          <w:sz w:val="22"/>
          <w:szCs w:val="22"/>
        </w:rPr>
        <w:t xml:space="preserve">über </w:t>
      </w:r>
      <w:r w:rsidRPr="002541AA">
        <w:rPr>
          <w:rFonts w:cs="Arial"/>
          <w:sz w:val="22"/>
          <w:szCs w:val="22"/>
        </w:rPr>
        <w:t>24.0</w:t>
      </w:r>
      <w:r w:rsidR="005F1B87" w:rsidRPr="002541AA">
        <w:rPr>
          <w:rFonts w:cs="Arial"/>
          <w:sz w:val="22"/>
          <w:szCs w:val="22"/>
        </w:rPr>
        <w:t>00</w:t>
      </w:r>
      <w:r w:rsidRPr="002541AA">
        <w:rPr>
          <w:rFonts w:cs="Arial"/>
          <w:sz w:val="22"/>
          <w:szCs w:val="22"/>
        </w:rPr>
        <w:t xml:space="preserve"> Erwachsenen wurde </w:t>
      </w:r>
      <w:r w:rsidR="005F1B87" w:rsidRPr="002541AA">
        <w:rPr>
          <w:rFonts w:cs="Arial"/>
          <w:sz w:val="22"/>
          <w:szCs w:val="22"/>
        </w:rPr>
        <w:t xml:space="preserve">im Jahre </w:t>
      </w:r>
      <w:r w:rsidRPr="002541AA">
        <w:rPr>
          <w:rFonts w:cs="Arial"/>
          <w:sz w:val="22"/>
          <w:szCs w:val="22"/>
        </w:rPr>
        <w:t>2015 vom Robert-Koch-Institut durchgeführt.</w:t>
      </w:r>
    </w:p>
    <w:p w14:paraId="1CF63734" w14:textId="77777777" w:rsidR="00A92659" w:rsidRPr="002541AA" w:rsidRDefault="00A92659" w:rsidP="00BE136B">
      <w:pPr>
        <w:spacing w:line="276" w:lineRule="auto"/>
        <w:rPr>
          <w:rFonts w:cs="Arial"/>
          <w:sz w:val="22"/>
          <w:szCs w:val="22"/>
        </w:rPr>
      </w:pPr>
    </w:p>
    <w:p w14:paraId="1E2B5904" w14:textId="176AB0F2" w:rsidR="00745B69" w:rsidRPr="002541AA" w:rsidRDefault="00C01D36" w:rsidP="00A92659">
      <w:pPr>
        <w:spacing w:line="360" w:lineRule="auto"/>
        <w:rPr>
          <w:rFonts w:cs="Arial"/>
          <w:sz w:val="22"/>
          <w:szCs w:val="22"/>
          <w:u w:val="single"/>
        </w:rPr>
      </w:pPr>
      <w:r w:rsidRPr="002541AA">
        <w:rPr>
          <w:rFonts w:cs="Arial"/>
          <w:sz w:val="22"/>
          <w:szCs w:val="22"/>
          <w:u w:val="single"/>
        </w:rPr>
        <w:t>Folie 13</w:t>
      </w:r>
      <w:r w:rsidR="00BE136B" w:rsidRPr="002541AA">
        <w:rPr>
          <w:rFonts w:cs="Arial"/>
          <w:sz w:val="22"/>
          <w:szCs w:val="22"/>
          <w:u w:val="single"/>
        </w:rPr>
        <w:t>: GEDA: Ergebnisse</w:t>
      </w:r>
    </w:p>
    <w:p w14:paraId="7B02C3EA" w14:textId="77777777" w:rsidR="00701AE5" w:rsidRPr="002541AA" w:rsidRDefault="00701AE5" w:rsidP="00BE136B">
      <w:pPr>
        <w:spacing w:line="276" w:lineRule="auto"/>
        <w:rPr>
          <w:rFonts w:cs="Arial"/>
          <w:sz w:val="22"/>
          <w:szCs w:val="22"/>
        </w:rPr>
      </w:pPr>
      <w:r w:rsidRPr="002541AA">
        <w:rPr>
          <w:rFonts w:cs="Arial"/>
          <w:sz w:val="22"/>
          <w:szCs w:val="22"/>
        </w:rPr>
        <w:t xml:space="preserve">Die wichtigsten Ergebnisse der </w:t>
      </w:r>
      <w:r w:rsidR="00D1541B" w:rsidRPr="002541AA">
        <w:rPr>
          <w:rFonts w:cs="Arial"/>
          <w:sz w:val="22"/>
          <w:szCs w:val="22"/>
        </w:rPr>
        <w:t>GEDA</w:t>
      </w:r>
      <w:r w:rsidRPr="002541AA">
        <w:rPr>
          <w:rFonts w:cs="Arial"/>
          <w:sz w:val="22"/>
          <w:szCs w:val="22"/>
        </w:rPr>
        <w:t xml:space="preserve">-Studie sind folgende: </w:t>
      </w:r>
    </w:p>
    <w:p w14:paraId="65BC5F3B" w14:textId="5F1C621A" w:rsidR="003E3329" w:rsidRPr="002541AA" w:rsidRDefault="00F91B5C" w:rsidP="00BE136B">
      <w:pPr>
        <w:pStyle w:val="Listenabsatz"/>
        <w:numPr>
          <w:ilvl w:val="0"/>
          <w:numId w:val="19"/>
        </w:numPr>
        <w:spacing w:line="276" w:lineRule="auto"/>
        <w:rPr>
          <w:rFonts w:cs="Arial"/>
          <w:sz w:val="22"/>
          <w:szCs w:val="22"/>
        </w:rPr>
      </w:pPr>
      <w:r w:rsidRPr="002541AA">
        <w:rPr>
          <w:rFonts w:cs="Arial"/>
          <w:bCs/>
          <w:sz w:val="22"/>
          <w:szCs w:val="22"/>
        </w:rPr>
        <w:t xml:space="preserve">43 % der Frauen und 48 </w:t>
      </w:r>
      <w:r w:rsidR="00005B6B" w:rsidRPr="002541AA">
        <w:rPr>
          <w:rFonts w:cs="Arial"/>
          <w:bCs/>
          <w:sz w:val="22"/>
          <w:szCs w:val="22"/>
        </w:rPr>
        <w:t xml:space="preserve">% der Männer </w:t>
      </w:r>
      <w:r w:rsidRPr="002541AA">
        <w:rPr>
          <w:rFonts w:cs="Arial"/>
          <w:bCs/>
          <w:sz w:val="22"/>
          <w:szCs w:val="22"/>
        </w:rPr>
        <w:t xml:space="preserve">geben </w:t>
      </w:r>
      <w:r w:rsidR="00005B6B" w:rsidRPr="002541AA">
        <w:rPr>
          <w:rFonts w:cs="Arial"/>
          <w:bCs/>
          <w:sz w:val="22"/>
          <w:szCs w:val="22"/>
        </w:rPr>
        <w:t>an, m</w:t>
      </w:r>
      <w:r w:rsidR="00D1541B" w:rsidRPr="002541AA">
        <w:rPr>
          <w:rFonts w:cs="Arial"/>
          <w:bCs/>
          <w:sz w:val="22"/>
          <w:szCs w:val="22"/>
        </w:rPr>
        <w:t xml:space="preserve">indestens zwei </w:t>
      </w:r>
      <w:proofErr w:type="spellStart"/>
      <w:r w:rsidR="00D1541B" w:rsidRPr="002541AA">
        <w:rPr>
          <w:rFonts w:cs="Arial"/>
          <w:bCs/>
          <w:sz w:val="22"/>
          <w:szCs w:val="22"/>
        </w:rPr>
        <w:t>einhalb</w:t>
      </w:r>
      <w:proofErr w:type="spellEnd"/>
      <w:r w:rsidR="00005B6B" w:rsidRPr="002541AA">
        <w:rPr>
          <w:rFonts w:cs="Arial"/>
          <w:bCs/>
          <w:sz w:val="22"/>
          <w:szCs w:val="22"/>
        </w:rPr>
        <w:t xml:space="preserve"> Stunden körperliche Ausdaueraktivität </w:t>
      </w:r>
      <w:r w:rsidR="00D1541B" w:rsidRPr="002541AA">
        <w:rPr>
          <w:rFonts w:cs="Arial"/>
          <w:bCs/>
          <w:sz w:val="22"/>
          <w:szCs w:val="22"/>
        </w:rPr>
        <w:t xml:space="preserve">pro Woche </w:t>
      </w:r>
      <w:r w:rsidR="00C81895" w:rsidRPr="002541AA">
        <w:rPr>
          <w:rFonts w:cs="Arial"/>
          <w:bCs/>
          <w:sz w:val="22"/>
          <w:szCs w:val="22"/>
        </w:rPr>
        <w:t>auszuüben</w:t>
      </w:r>
      <w:r w:rsidRPr="002541AA">
        <w:rPr>
          <w:rFonts w:cs="Arial"/>
          <w:bCs/>
          <w:sz w:val="22"/>
          <w:szCs w:val="22"/>
        </w:rPr>
        <w:t xml:space="preserve">. Dies entspricht den Empfehlungen der Weltgesundheitsorganisation. Darüber hinaus </w:t>
      </w:r>
      <w:r w:rsidR="00667C8E" w:rsidRPr="002541AA">
        <w:rPr>
          <w:rFonts w:cs="Arial"/>
          <w:bCs/>
          <w:sz w:val="22"/>
          <w:szCs w:val="22"/>
        </w:rPr>
        <w:t>empfiehlt</w:t>
      </w:r>
      <w:r w:rsidRPr="002541AA">
        <w:rPr>
          <w:rFonts w:cs="Arial"/>
          <w:bCs/>
          <w:sz w:val="22"/>
          <w:szCs w:val="22"/>
        </w:rPr>
        <w:t xml:space="preserve"> die </w:t>
      </w:r>
      <w:r w:rsidR="00667C8E" w:rsidRPr="002541AA">
        <w:rPr>
          <w:rFonts w:cs="Arial"/>
          <w:bCs/>
          <w:sz w:val="22"/>
          <w:szCs w:val="22"/>
        </w:rPr>
        <w:t>Weltgesundheitsorganisation</w:t>
      </w:r>
      <w:r w:rsidRPr="002541AA">
        <w:rPr>
          <w:rFonts w:cs="Arial"/>
          <w:bCs/>
          <w:sz w:val="22"/>
          <w:szCs w:val="22"/>
        </w:rPr>
        <w:t xml:space="preserve"> mindestens 2 Einheiten pro Woche mit m</w:t>
      </w:r>
      <w:r w:rsidR="00005B6B" w:rsidRPr="002541AA">
        <w:rPr>
          <w:rFonts w:cs="Arial"/>
          <w:bCs/>
          <w:sz w:val="22"/>
          <w:szCs w:val="22"/>
        </w:rPr>
        <w:t>uskelkr</w:t>
      </w:r>
      <w:r w:rsidR="00D1541B" w:rsidRPr="002541AA">
        <w:rPr>
          <w:rFonts w:cs="Arial"/>
          <w:bCs/>
          <w:sz w:val="22"/>
          <w:szCs w:val="22"/>
        </w:rPr>
        <w:t>äftigenden Aktivitäten</w:t>
      </w:r>
      <w:r w:rsidRPr="002541AA">
        <w:rPr>
          <w:rFonts w:cs="Arial"/>
          <w:bCs/>
          <w:sz w:val="22"/>
          <w:szCs w:val="22"/>
        </w:rPr>
        <w:t>. Dies erreich</w:t>
      </w:r>
      <w:r w:rsidR="00920437" w:rsidRPr="002541AA">
        <w:rPr>
          <w:rFonts w:cs="Arial"/>
          <w:bCs/>
          <w:sz w:val="22"/>
          <w:szCs w:val="22"/>
        </w:rPr>
        <w:t>t</w:t>
      </w:r>
      <w:r w:rsidRPr="002541AA">
        <w:rPr>
          <w:rFonts w:cs="Arial"/>
          <w:bCs/>
          <w:sz w:val="22"/>
          <w:szCs w:val="22"/>
        </w:rPr>
        <w:t xml:space="preserve"> </w:t>
      </w:r>
      <w:r w:rsidR="00C81895" w:rsidRPr="002541AA">
        <w:rPr>
          <w:rFonts w:cs="Arial"/>
          <w:bCs/>
          <w:sz w:val="22"/>
          <w:szCs w:val="22"/>
        </w:rPr>
        <w:t>knapp</w:t>
      </w:r>
      <w:r w:rsidR="00005B6B" w:rsidRPr="002541AA">
        <w:rPr>
          <w:rFonts w:cs="Arial"/>
          <w:bCs/>
          <w:sz w:val="22"/>
          <w:szCs w:val="22"/>
        </w:rPr>
        <w:t xml:space="preserve"> die Hälfte der Männer und Fra</w:t>
      </w:r>
      <w:r w:rsidR="003E3329" w:rsidRPr="002541AA">
        <w:rPr>
          <w:rFonts w:cs="Arial"/>
          <w:bCs/>
          <w:sz w:val="22"/>
          <w:szCs w:val="22"/>
        </w:rPr>
        <w:t>uen</w:t>
      </w:r>
      <w:r w:rsidRPr="002541AA">
        <w:rPr>
          <w:rFonts w:cs="Arial"/>
          <w:bCs/>
          <w:sz w:val="22"/>
          <w:szCs w:val="22"/>
        </w:rPr>
        <w:t xml:space="preserve">. </w:t>
      </w:r>
      <w:r w:rsidR="00D1541B" w:rsidRPr="002541AA">
        <w:rPr>
          <w:rFonts w:cs="Arial"/>
          <w:bCs/>
          <w:sz w:val="22"/>
          <w:szCs w:val="22"/>
        </w:rPr>
        <w:t>Werden b</w:t>
      </w:r>
      <w:r w:rsidR="00005B6B" w:rsidRPr="002541AA">
        <w:rPr>
          <w:rFonts w:cs="Arial"/>
          <w:bCs/>
          <w:sz w:val="22"/>
          <w:szCs w:val="22"/>
        </w:rPr>
        <w:t xml:space="preserve">eide </w:t>
      </w:r>
      <w:r w:rsidR="00C81895" w:rsidRPr="002541AA">
        <w:rPr>
          <w:rFonts w:cs="Arial"/>
          <w:bCs/>
          <w:sz w:val="22"/>
          <w:szCs w:val="22"/>
        </w:rPr>
        <w:t>Empfehlungen</w:t>
      </w:r>
      <w:r w:rsidR="00005B6B" w:rsidRPr="002541AA">
        <w:rPr>
          <w:rFonts w:cs="Arial"/>
          <w:bCs/>
          <w:sz w:val="22"/>
          <w:szCs w:val="22"/>
        </w:rPr>
        <w:t xml:space="preserve"> </w:t>
      </w:r>
      <w:r w:rsidR="00C81895" w:rsidRPr="002541AA">
        <w:rPr>
          <w:rFonts w:cs="Arial"/>
          <w:bCs/>
          <w:sz w:val="22"/>
          <w:szCs w:val="22"/>
        </w:rPr>
        <w:t>gemeinsam</w:t>
      </w:r>
      <w:r w:rsidR="00005B6B" w:rsidRPr="002541AA">
        <w:rPr>
          <w:rFonts w:cs="Arial"/>
          <w:bCs/>
          <w:sz w:val="22"/>
          <w:szCs w:val="22"/>
        </w:rPr>
        <w:t xml:space="preserve"> </w:t>
      </w:r>
      <w:r w:rsidR="00C81895" w:rsidRPr="002541AA">
        <w:rPr>
          <w:rFonts w:cs="Arial"/>
          <w:bCs/>
          <w:sz w:val="22"/>
          <w:szCs w:val="22"/>
        </w:rPr>
        <w:t>betrachtet,</w:t>
      </w:r>
      <w:r w:rsidR="00005B6B" w:rsidRPr="002541AA">
        <w:rPr>
          <w:rFonts w:cs="Arial"/>
          <w:bCs/>
          <w:sz w:val="22"/>
          <w:szCs w:val="22"/>
        </w:rPr>
        <w:t xml:space="preserve"> </w:t>
      </w:r>
      <w:r w:rsidRPr="002541AA">
        <w:rPr>
          <w:rFonts w:cs="Arial"/>
          <w:bCs/>
          <w:sz w:val="22"/>
          <w:szCs w:val="22"/>
        </w:rPr>
        <w:t>werden diese nur von etwa einem Fünftel der Frauen und einem Viertel der Männer erreicht. D</w:t>
      </w:r>
      <w:r w:rsidR="00005B6B" w:rsidRPr="002541AA">
        <w:rPr>
          <w:rFonts w:cs="Arial"/>
          <w:bCs/>
          <w:sz w:val="22"/>
          <w:szCs w:val="22"/>
        </w:rPr>
        <w:t xml:space="preserve">ieses Ergebnis deckt sich mit dem aus der DEGS1-Studie. </w:t>
      </w:r>
    </w:p>
    <w:p w14:paraId="60B01056" w14:textId="13D038D6" w:rsidR="003E3329" w:rsidRPr="002541AA" w:rsidRDefault="00005B6B" w:rsidP="00BE136B">
      <w:pPr>
        <w:pStyle w:val="Listenabsatz"/>
        <w:numPr>
          <w:ilvl w:val="0"/>
          <w:numId w:val="19"/>
        </w:numPr>
        <w:spacing w:line="276" w:lineRule="auto"/>
        <w:rPr>
          <w:rFonts w:cs="Arial"/>
          <w:sz w:val="22"/>
          <w:szCs w:val="22"/>
        </w:rPr>
      </w:pPr>
      <w:r w:rsidRPr="002541AA">
        <w:rPr>
          <w:rFonts w:cs="Arial"/>
          <w:sz w:val="22"/>
          <w:szCs w:val="22"/>
        </w:rPr>
        <w:t>4</w:t>
      </w:r>
      <w:r w:rsidR="00F91B5C" w:rsidRPr="002541AA">
        <w:rPr>
          <w:rFonts w:cs="Arial"/>
          <w:sz w:val="22"/>
          <w:szCs w:val="22"/>
        </w:rPr>
        <w:t xml:space="preserve">0 </w:t>
      </w:r>
      <w:r w:rsidRPr="002541AA">
        <w:rPr>
          <w:rFonts w:cs="Arial"/>
          <w:sz w:val="22"/>
          <w:szCs w:val="22"/>
        </w:rPr>
        <w:t xml:space="preserve">% der befragten Frauen konsumieren täglich oder mehrmals täglich Gemüse, </w:t>
      </w:r>
      <w:r w:rsidR="00F91B5C" w:rsidRPr="002541AA">
        <w:rPr>
          <w:rFonts w:cs="Arial"/>
          <w:sz w:val="22"/>
          <w:szCs w:val="22"/>
        </w:rPr>
        <w:t>bei den Männern sind es nur 24</w:t>
      </w:r>
      <w:r w:rsidRPr="002541AA">
        <w:rPr>
          <w:rFonts w:cs="Arial"/>
          <w:sz w:val="22"/>
          <w:szCs w:val="22"/>
        </w:rPr>
        <w:t xml:space="preserve"> %. Der Konsum steigt bei beiden Geschlech</w:t>
      </w:r>
      <w:r w:rsidR="00F91B5C" w:rsidRPr="002541AA">
        <w:rPr>
          <w:rFonts w:cs="Arial"/>
          <w:sz w:val="22"/>
          <w:szCs w:val="22"/>
        </w:rPr>
        <w:t xml:space="preserve">tern mit dem Alter und dem sozialen Status an. </w:t>
      </w:r>
      <w:r w:rsidR="00ED1D9F" w:rsidRPr="002541AA">
        <w:rPr>
          <w:rFonts w:cs="Arial"/>
          <w:sz w:val="22"/>
          <w:szCs w:val="22"/>
        </w:rPr>
        <w:t xml:space="preserve">Obst verzehren 54 </w:t>
      </w:r>
      <w:r w:rsidRPr="002541AA">
        <w:rPr>
          <w:rFonts w:cs="Arial"/>
          <w:sz w:val="22"/>
          <w:szCs w:val="22"/>
        </w:rPr>
        <w:t xml:space="preserve">% der Frauen </w:t>
      </w:r>
      <w:r w:rsidR="00BB7EC6" w:rsidRPr="002541AA">
        <w:rPr>
          <w:rFonts w:cs="Arial"/>
          <w:sz w:val="22"/>
          <w:szCs w:val="22"/>
        </w:rPr>
        <w:t>täglich oder mehrmals täglich.</w:t>
      </w:r>
      <w:r w:rsidR="00667C8E" w:rsidRPr="002541AA">
        <w:rPr>
          <w:rFonts w:cs="Arial"/>
          <w:sz w:val="22"/>
          <w:szCs w:val="22"/>
        </w:rPr>
        <w:t xml:space="preserve"> </w:t>
      </w:r>
      <w:r w:rsidR="00ED1D9F" w:rsidRPr="002541AA">
        <w:rPr>
          <w:rFonts w:cs="Arial"/>
          <w:sz w:val="22"/>
          <w:szCs w:val="22"/>
        </w:rPr>
        <w:t>Bei den Männern sind es 38</w:t>
      </w:r>
      <w:r w:rsidRPr="002541AA">
        <w:rPr>
          <w:rFonts w:cs="Arial"/>
          <w:sz w:val="22"/>
          <w:szCs w:val="22"/>
        </w:rPr>
        <w:t xml:space="preserve"> %.</w:t>
      </w:r>
    </w:p>
    <w:p w14:paraId="460FFA5F" w14:textId="6BB438EC" w:rsidR="00005B6B" w:rsidRPr="002541AA" w:rsidRDefault="00005B6B" w:rsidP="00BE136B">
      <w:pPr>
        <w:pStyle w:val="Listenabsatz"/>
        <w:numPr>
          <w:ilvl w:val="0"/>
          <w:numId w:val="19"/>
        </w:numPr>
        <w:spacing w:line="276" w:lineRule="auto"/>
        <w:outlineLvl w:val="0"/>
        <w:rPr>
          <w:rFonts w:cs="Arial"/>
          <w:sz w:val="22"/>
          <w:szCs w:val="22"/>
          <w:u w:val="single"/>
        </w:rPr>
      </w:pPr>
      <w:r w:rsidRPr="002541AA">
        <w:rPr>
          <w:rFonts w:cs="Arial"/>
          <w:sz w:val="22"/>
          <w:szCs w:val="22"/>
        </w:rPr>
        <w:t xml:space="preserve">Bei </w:t>
      </w:r>
      <w:r w:rsidR="00ED1D9F" w:rsidRPr="002541AA">
        <w:rPr>
          <w:rFonts w:cs="Arial"/>
          <w:sz w:val="22"/>
          <w:szCs w:val="22"/>
        </w:rPr>
        <w:t>4</w:t>
      </w:r>
      <w:r w:rsidRPr="002541AA">
        <w:rPr>
          <w:rFonts w:cs="Arial"/>
          <w:sz w:val="22"/>
          <w:szCs w:val="22"/>
        </w:rPr>
        <w:t xml:space="preserve"> % der Frauen und 6 % der Männer in Deutschland bestand in den letzten 12 Monaten eine koronare Herzkrankheit. Die Prävalenz liegt bei beiden Geschlechtern in den Altersgruppen unter 45 Jahren </w:t>
      </w:r>
      <w:r w:rsidR="00ED1D9F" w:rsidRPr="002541AA">
        <w:rPr>
          <w:rFonts w:cs="Arial"/>
          <w:sz w:val="22"/>
          <w:szCs w:val="22"/>
        </w:rPr>
        <w:t xml:space="preserve">deutlich unter 1 %. Ab </w:t>
      </w:r>
      <w:r w:rsidR="006246EE" w:rsidRPr="002541AA">
        <w:rPr>
          <w:rFonts w:cs="Arial"/>
          <w:sz w:val="22"/>
          <w:szCs w:val="22"/>
        </w:rPr>
        <w:t>einem Alter von 75 Jahren leiden</w:t>
      </w:r>
      <w:r w:rsidR="00ED1D9F" w:rsidRPr="002541AA">
        <w:rPr>
          <w:rFonts w:cs="Arial"/>
          <w:sz w:val="22"/>
          <w:szCs w:val="22"/>
        </w:rPr>
        <w:t xml:space="preserve"> 16 </w:t>
      </w:r>
      <w:r w:rsidRPr="002541AA">
        <w:rPr>
          <w:rFonts w:cs="Arial"/>
          <w:sz w:val="22"/>
          <w:szCs w:val="22"/>
        </w:rPr>
        <w:t xml:space="preserve">% bei Frauen und </w:t>
      </w:r>
      <w:r w:rsidR="00ED1D9F" w:rsidRPr="002541AA">
        <w:rPr>
          <w:rFonts w:cs="Arial"/>
          <w:sz w:val="22"/>
          <w:szCs w:val="22"/>
        </w:rPr>
        <w:t xml:space="preserve">24 % der </w:t>
      </w:r>
      <w:r w:rsidRPr="002541AA">
        <w:rPr>
          <w:rFonts w:cs="Arial"/>
          <w:sz w:val="22"/>
          <w:szCs w:val="22"/>
        </w:rPr>
        <w:t>Männer</w:t>
      </w:r>
      <w:r w:rsidR="00ED1D9F" w:rsidRPr="002541AA">
        <w:rPr>
          <w:rFonts w:cs="Arial"/>
          <w:sz w:val="22"/>
          <w:szCs w:val="22"/>
        </w:rPr>
        <w:t xml:space="preserve"> unter einer koronaren Herzerkrankung. </w:t>
      </w:r>
      <w:r w:rsidRPr="002541AA">
        <w:rPr>
          <w:rFonts w:cs="Arial"/>
          <w:sz w:val="22"/>
          <w:szCs w:val="22"/>
        </w:rPr>
        <w:t xml:space="preserve">Frauen </w:t>
      </w:r>
      <w:r w:rsidR="00ED1D9F" w:rsidRPr="002541AA">
        <w:rPr>
          <w:rFonts w:cs="Arial"/>
          <w:sz w:val="22"/>
          <w:szCs w:val="22"/>
        </w:rPr>
        <w:t xml:space="preserve">mit niedrigem Sozialstatus sind </w:t>
      </w:r>
      <w:r w:rsidR="003E3329" w:rsidRPr="002541AA">
        <w:rPr>
          <w:rFonts w:cs="Arial"/>
          <w:sz w:val="22"/>
          <w:szCs w:val="22"/>
        </w:rPr>
        <w:t>sechs Mal</w:t>
      </w:r>
      <w:r w:rsidRPr="002541AA">
        <w:rPr>
          <w:rFonts w:cs="Arial"/>
          <w:sz w:val="22"/>
          <w:szCs w:val="22"/>
        </w:rPr>
        <w:t xml:space="preserve"> h</w:t>
      </w:r>
      <w:r w:rsidR="00ED1D9F" w:rsidRPr="002541AA">
        <w:rPr>
          <w:rFonts w:cs="Arial"/>
          <w:sz w:val="22"/>
          <w:szCs w:val="22"/>
        </w:rPr>
        <w:t xml:space="preserve">äufiger betroffen als </w:t>
      </w:r>
      <w:r w:rsidRPr="002541AA">
        <w:rPr>
          <w:rFonts w:cs="Arial"/>
          <w:sz w:val="22"/>
          <w:szCs w:val="22"/>
        </w:rPr>
        <w:t xml:space="preserve">Frauen </w:t>
      </w:r>
      <w:r w:rsidR="00ED1D9F" w:rsidRPr="002541AA">
        <w:rPr>
          <w:rFonts w:cs="Arial"/>
          <w:sz w:val="22"/>
          <w:szCs w:val="22"/>
        </w:rPr>
        <w:t xml:space="preserve">mit einem hohen Sozialstatus. </w:t>
      </w:r>
    </w:p>
    <w:p w14:paraId="6537C235" w14:textId="004A5643" w:rsidR="003E3329" w:rsidRPr="002541AA" w:rsidRDefault="00ED1D9F" w:rsidP="00BE136B">
      <w:pPr>
        <w:pStyle w:val="Listenabsatz"/>
        <w:numPr>
          <w:ilvl w:val="0"/>
          <w:numId w:val="19"/>
        </w:numPr>
        <w:spacing w:line="276" w:lineRule="auto"/>
        <w:outlineLvl w:val="0"/>
        <w:rPr>
          <w:rFonts w:cs="Arial"/>
          <w:sz w:val="22"/>
          <w:szCs w:val="22"/>
          <w:u w:val="single"/>
        </w:rPr>
      </w:pPr>
      <w:r w:rsidRPr="002541AA">
        <w:rPr>
          <w:rFonts w:cs="Arial"/>
          <w:sz w:val="22"/>
          <w:szCs w:val="22"/>
        </w:rPr>
        <w:t xml:space="preserve">Bei </w:t>
      </w:r>
      <w:r w:rsidR="00005B6B" w:rsidRPr="002541AA">
        <w:rPr>
          <w:rFonts w:cs="Arial"/>
          <w:sz w:val="22"/>
          <w:szCs w:val="22"/>
        </w:rPr>
        <w:t xml:space="preserve">8 % der Erwachsenen lag </w:t>
      </w:r>
      <w:r w:rsidR="006246EE" w:rsidRPr="002541AA">
        <w:rPr>
          <w:rFonts w:cs="Arial"/>
          <w:sz w:val="22"/>
          <w:szCs w:val="22"/>
        </w:rPr>
        <w:t>innerhalb der letzten 12 Monate</w:t>
      </w:r>
      <w:r w:rsidR="00005B6B" w:rsidRPr="002541AA">
        <w:rPr>
          <w:rFonts w:cs="Arial"/>
          <w:sz w:val="22"/>
          <w:szCs w:val="22"/>
        </w:rPr>
        <w:t xml:space="preserve"> vor der Befragung ein Diabetes mellitus vor</w:t>
      </w:r>
      <w:r w:rsidR="003E3329" w:rsidRPr="002541AA">
        <w:rPr>
          <w:rFonts w:cs="Arial"/>
          <w:sz w:val="22"/>
          <w:szCs w:val="22"/>
        </w:rPr>
        <w:t xml:space="preserve">, wobei die Zahl bei den Männern etwas höher ist. </w:t>
      </w:r>
      <w:r w:rsidR="00005B6B" w:rsidRPr="002541AA">
        <w:rPr>
          <w:rFonts w:cs="Arial"/>
          <w:sz w:val="22"/>
          <w:szCs w:val="22"/>
        </w:rPr>
        <w:t xml:space="preserve">Die Prävalenz steigt </w:t>
      </w:r>
      <w:r w:rsidR="003E3329" w:rsidRPr="002541AA">
        <w:rPr>
          <w:rFonts w:cs="Arial"/>
          <w:sz w:val="22"/>
          <w:szCs w:val="22"/>
        </w:rPr>
        <w:t>ab dem 45. Lebensjahr</w:t>
      </w:r>
      <w:r w:rsidR="00005B6B" w:rsidRPr="002541AA">
        <w:rPr>
          <w:rFonts w:cs="Arial"/>
          <w:sz w:val="22"/>
          <w:szCs w:val="22"/>
        </w:rPr>
        <w:t xml:space="preserve"> deutlich an. </w:t>
      </w:r>
      <w:r w:rsidR="003E3329" w:rsidRPr="002541AA">
        <w:rPr>
          <w:rFonts w:cs="Arial"/>
          <w:sz w:val="22"/>
          <w:szCs w:val="22"/>
        </w:rPr>
        <w:t>Außerdem wird b</w:t>
      </w:r>
      <w:r w:rsidR="00005B6B" w:rsidRPr="002541AA">
        <w:rPr>
          <w:rFonts w:cs="Arial"/>
          <w:sz w:val="22"/>
          <w:szCs w:val="22"/>
        </w:rPr>
        <w:t>ei Personen mit niedrigem Sozialstatus deutlich häufiger ein Diabetes mellitus diagnostiziert als bei Personen mit mittlerem oder hohem Sozialstatus.</w:t>
      </w:r>
    </w:p>
    <w:p w14:paraId="3AA80821" w14:textId="6F242D81" w:rsidR="00745B69" w:rsidRPr="002541AA" w:rsidRDefault="003E3329" w:rsidP="00BE136B">
      <w:pPr>
        <w:pStyle w:val="Listenabsatz"/>
        <w:numPr>
          <w:ilvl w:val="0"/>
          <w:numId w:val="19"/>
        </w:numPr>
        <w:spacing w:line="276" w:lineRule="auto"/>
        <w:outlineLvl w:val="0"/>
        <w:rPr>
          <w:rFonts w:cs="Arial"/>
          <w:sz w:val="22"/>
          <w:szCs w:val="22"/>
          <w:u w:val="single"/>
        </w:rPr>
      </w:pPr>
      <w:r w:rsidRPr="002541AA">
        <w:rPr>
          <w:rFonts w:cs="Arial"/>
          <w:sz w:val="22"/>
          <w:szCs w:val="22"/>
        </w:rPr>
        <w:t xml:space="preserve">Laut den Ergebnissen der GEDA sind </w:t>
      </w:r>
      <w:r w:rsidR="00ED1D9F" w:rsidRPr="002541AA">
        <w:rPr>
          <w:rFonts w:cs="Arial"/>
          <w:sz w:val="22"/>
          <w:szCs w:val="22"/>
        </w:rPr>
        <w:t>62 % der Männer und 4</w:t>
      </w:r>
      <w:r w:rsidR="00005B6B" w:rsidRPr="002541AA">
        <w:rPr>
          <w:rFonts w:cs="Arial"/>
          <w:sz w:val="22"/>
          <w:szCs w:val="22"/>
        </w:rPr>
        <w:t>7 % der Frauen übergewichtig oder adipös. Die Prävalenz für Übergewicht und Adipositas ist</w:t>
      </w:r>
      <w:r w:rsidRPr="002541AA">
        <w:rPr>
          <w:rFonts w:cs="Arial"/>
          <w:sz w:val="22"/>
          <w:szCs w:val="22"/>
        </w:rPr>
        <w:t xml:space="preserve"> damit</w:t>
      </w:r>
      <w:r w:rsidR="00005B6B" w:rsidRPr="002541AA">
        <w:rPr>
          <w:rFonts w:cs="Arial"/>
          <w:sz w:val="22"/>
          <w:szCs w:val="22"/>
        </w:rPr>
        <w:t xml:space="preserve"> unverändert hoch. Sie lag 2012 für Frauen bei 4</w:t>
      </w:r>
      <w:r w:rsidR="00ED1D9F" w:rsidRPr="002541AA">
        <w:rPr>
          <w:rFonts w:cs="Arial"/>
          <w:sz w:val="22"/>
          <w:szCs w:val="22"/>
        </w:rPr>
        <w:t>6 % und für Männer bei 60</w:t>
      </w:r>
      <w:r w:rsidRPr="002541AA">
        <w:rPr>
          <w:rFonts w:cs="Arial"/>
          <w:sz w:val="22"/>
          <w:szCs w:val="22"/>
        </w:rPr>
        <w:t xml:space="preserve"> %. </w:t>
      </w:r>
      <w:r w:rsidR="00ED1D9F" w:rsidRPr="002541AA">
        <w:rPr>
          <w:rFonts w:cs="Arial"/>
          <w:sz w:val="22"/>
          <w:szCs w:val="22"/>
        </w:rPr>
        <w:t>D</w:t>
      </w:r>
      <w:r w:rsidRPr="002541AA">
        <w:rPr>
          <w:rFonts w:cs="Arial"/>
          <w:sz w:val="22"/>
          <w:szCs w:val="22"/>
        </w:rPr>
        <w:t xml:space="preserve">ie Prävalenz von Übergewicht einschließlich Adipositas </w:t>
      </w:r>
      <w:r w:rsidR="00ED1D9F" w:rsidRPr="002541AA">
        <w:rPr>
          <w:rFonts w:cs="Arial"/>
          <w:sz w:val="22"/>
          <w:szCs w:val="22"/>
        </w:rPr>
        <w:t xml:space="preserve">steigt </w:t>
      </w:r>
      <w:r w:rsidRPr="002541AA">
        <w:rPr>
          <w:rFonts w:cs="Arial"/>
          <w:sz w:val="22"/>
          <w:szCs w:val="22"/>
        </w:rPr>
        <w:t>m</w:t>
      </w:r>
      <w:r w:rsidR="00005B6B" w:rsidRPr="002541AA">
        <w:rPr>
          <w:rFonts w:cs="Arial"/>
          <w:sz w:val="22"/>
          <w:szCs w:val="22"/>
        </w:rPr>
        <w:t xml:space="preserve">it zunehmendem Alter </w:t>
      </w:r>
      <w:r w:rsidR="00ED1D9F" w:rsidRPr="002541AA">
        <w:rPr>
          <w:rFonts w:cs="Arial"/>
          <w:sz w:val="22"/>
          <w:szCs w:val="22"/>
        </w:rPr>
        <w:t xml:space="preserve">bei beiden Geschlechtern an. </w:t>
      </w:r>
      <w:r w:rsidR="00631445" w:rsidRPr="002541AA">
        <w:rPr>
          <w:rFonts w:cs="Arial"/>
          <w:sz w:val="22"/>
          <w:szCs w:val="22"/>
        </w:rPr>
        <w:t xml:space="preserve">Je niedriger der Sozialstatus desto häufiger sind Menschen beider Geschlechter adipös. </w:t>
      </w:r>
    </w:p>
    <w:p w14:paraId="1E1C0E55" w14:textId="77777777" w:rsidR="00005B6B" w:rsidRPr="002541AA" w:rsidRDefault="00005B6B" w:rsidP="00BE136B">
      <w:pPr>
        <w:spacing w:line="276" w:lineRule="auto"/>
        <w:rPr>
          <w:rFonts w:cs="Arial"/>
          <w:sz w:val="22"/>
          <w:szCs w:val="22"/>
          <w:u w:val="single"/>
        </w:rPr>
      </w:pPr>
    </w:p>
    <w:p w14:paraId="5D61015B" w14:textId="7312FD6A" w:rsidR="00C0665F" w:rsidRPr="002541AA" w:rsidRDefault="00C01D36" w:rsidP="00A92659">
      <w:pPr>
        <w:spacing w:line="360" w:lineRule="auto"/>
        <w:rPr>
          <w:rFonts w:cs="Arial"/>
          <w:sz w:val="22"/>
          <w:szCs w:val="22"/>
          <w:u w:val="single"/>
        </w:rPr>
      </w:pPr>
      <w:r w:rsidRPr="002541AA">
        <w:rPr>
          <w:rFonts w:cs="Arial"/>
          <w:sz w:val="22"/>
          <w:szCs w:val="22"/>
          <w:u w:val="single"/>
        </w:rPr>
        <w:t>Folie 14</w:t>
      </w:r>
      <w:r w:rsidR="00BE136B" w:rsidRPr="002541AA">
        <w:rPr>
          <w:rFonts w:cs="Arial"/>
          <w:sz w:val="22"/>
          <w:szCs w:val="22"/>
          <w:u w:val="single"/>
        </w:rPr>
        <w:t>: Links</w:t>
      </w:r>
    </w:p>
    <w:p w14:paraId="08D53BFF" w14:textId="73929CAB" w:rsidR="00701AE5" w:rsidRPr="002541AA" w:rsidRDefault="00701AE5" w:rsidP="00BE136B">
      <w:pPr>
        <w:spacing w:line="276" w:lineRule="auto"/>
        <w:rPr>
          <w:rFonts w:cs="Arial"/>
          <w:sz w:val="22"/>
          <w:szCs w:val="22"/>
          <w:u w:val="single"/>
        </w:rPr>
      </w:pPr>
      <w:r w:rsidRPr="002541AA">
        <w:rPr>
          <w:rFonts w:cs="Arial"/>
          <w:sz w:val="22"/>
          <w:szCs w:val="22"/>
        </w:rPr>
        <w:t xml:space="preserve">Die Ergebnisse </w:t>
      </w:r>
      <w:r w:rsidR="00631445" w:rsidRPr="002541AA">
        <w:rPr>
          <w:rFonts w:cs="Arial"/>
          <w:sz w:val="22"/>
          <w:szCs w:val="22"/>
        </w:rPr>
        <w:t xml:space="preserve">der GEDA </w:t>
      </w:r>
      <w:r w:rsidR="00090E2B" w:rsidRPr="002541AA">
        <w:rPr>
          <w:rFonts w:cs="Arial"/>
          <w:sz w:val="22"/>
          <w:szCs w:val="22"/>
        </w:rPr>
        <w:t>sind</w:t>
      </w:r>
      <w:r w:rsidRPr="002541AA">
        <w:rPr>
          <w:rFonts w:cs="Arial"/>
          <w:sz w:val="22"/>
          <w:szCs w:val="22"/>
        </w:rPr>
        <w:t xml:space="preserve"> im „Journal </w:t>
      </w:r>
      <w:proofErr w:type="spellStart"/>
      <w:r w:rsidRPr="002541AA">
        <w:rPr>
          <w:rFonts w:cs="Arial"/>
          <w:sz w:val="22"/>
          <w:szCs w:val="22"/>
        </w:rPr>
        <w:t>of</w:t>
      </w:r>
      <w:proofErr w:type="spellEnd"/>
      <w:r w:rsidRPr="002541AA">
        <w:rPr>
          <w:rFonts w:cs="Arial"/>
          <w:sz w:val="22"/>
          <w:szCs w:val="22"/>
        </w:rPr>
        <w:t xml:space="preserve"> </w:t>
      </w:r>
      <w:proofErr w:type="spellStart"/>
      <w:r w:rsidRPr="002541AA">
        <w:rPr>
          <w:rFonts w:cs="Arial"/>
          <w:sz w:val="22"/>
          <w:szCs w:val="22"/>
        </w:rPr>
        <w:t>He</w:t>
      </w:r>
      <w:r w:rsidR="00631445" w:rsidRPr="002541AA">
        <w:rPr>
          <w:rFonts w:cs="Arial"/>
          <w:sz w:val="22"/>
          <w:szCs w:val="22"/>
        </w:rPr>
        <w:t>alth</w:t>
      </w:r>
      <w:proofErr w:type="spellEnd"/>
      <w:r w:rsidR="00631445" w:rsidRPr="002541AA">
        <w:rPr>
          <w:rFonts w:cs="Arial"/>
          <w:sz w:val="22"/>
          <w:szCs w:val="22"/>
        </w:rPr>
        <w:t xml:space="preserve"> Monitoring“ veröffentlicht und stehen als </w:t>
      </w:r>
      <w:r w:rsidR="00667C8E" w:rsidRPr="002541AA">
        <w:rPr>
          <w:rFonts w:cs="Arial"/>
          <w:sz w:val="22"/>
          <w:szCs w:val="22"/>
        </w:rPr>
        <w:t>PDF</w:t>
      </w:r>
      <w:r w:rsidR="00263AF9" w:rsidRPr="002541AA">
        <w:rPr>
          <w:rFonts w:cs="Arial"/>
          <w:sz w:val="22"/>
          <w:szCs w:val="22"/>
        </w:rPr>
        <w:t>-Dateien</w:t>
      </w:r>
      <w:r w:rsidR="00BB7EC6" w:rsidRPr="002541AA">
        <w:rPr>
          <w:rFonts w:cs="Arial"/>
          <w:sz w:val="22"/>
          <w:szCs w:val="22"/>
        </w:rPr>
        <w:t xml:space="preserve"> zum </w:t>
      </w:r>
      <w:r w:rsidR="00631445" w:rsidRPr="002541AA">
        <w:rPr>
          <w:rFonts w:cs="Arial"/>
          <w:sz w:val="22"/>
          <w:szCs w:val="22"/>
        </w:rPr>
        <w:t>kostenlose</w:t>
      </w:r>
      <w:r w:rsidR="00BB7EC6" w:rsidRPr="002541AA">
        <w:rPr>
          <w:rFonts w:cs="Arial"/>
          <w:sz w:val="22"/>
          <w:szCs w:val="22"/>
        </w:rPr>
        <w:t>n</w:t>
      </w:r>
      <w:r w:rsidR="00E32763" w:rsidRPr="002541AA">
        <w:rPr>
          <w:rFonts w:cs="Arial"/>
          <w:sz w:val="22"/>
          <w:szCs w:val="22"/>
        </w:rPr>
        <w:t xml:space="preserve"> Download</w:t>
      </w:r>
      <w:r w:rsidR="00631445" w:rsidRPr="002541AA">
        <w:rPr>
          <w:rFonts w:cs="Arial"/>
          <w:sz w:val="22"/>
          <w:szCs w:val="22"/>
        </w:rPr>
        <w:t xml:space="preserve"> zur Verfügung.</w:t>
      </w:r>
    </w:p>
    <w:p w14:paraId="38292DAE" w14:textId="77777777" w:rsidR="00855662" w:rsidRPr="002541AA" w:rsidRDefault="00855662" w:rsidP="00BE136B">
      <w:pPr>
        <w:spacing w:line="276" w:lineRule="auto"/>
        <w:rPr>
          <w:rFonts w:cs="Arial"/>
          <w:sz w:val="22"/>
          <w:szCs w:val="22"/>
        </w:rPr>
      </w:pPr>
    </w:p>
    <w:p w14:paraId="61C3706D" w14:textId="3A90D2FB" w:rsidR="000229B5" w:rsidRPr="002541AA" w:rsidRDefault="00C01D36" w:rsidP="00A92659">
      <w:pPr>
        <w:spacing w:line="360" w:lineRule="auto"/>
        <w:rPr>
          <w:rFonts w:cs="Arial"/>
          <w:sz w:val="22"/>
          <w:szCs w:val="22"/>
          <w:u w:val="single"/>
        </w:rPr>
      </w:pPr>
      <w:r w:rsidRPr="002541AA">
        <w:rPr>
          <w:rFonts w:cs="Arial"/>
          <w:sz w:val="22"/>
          <w:szCs w:val="22"/>
          <w:u w:val="single"/>
        </w:rPr>
        <w:t>Folie 16</w:t>
      </w:r>
      <w:r w:rsidR="00BE136B" w:rsidRPr="002541AA">
        <w:rPr>
          <w:rFonts w:cs="Arial"/>
          <w:sz w:val="22"/>
          <w:szCs w:val="22"/>
          <w:u w:val="single"/>
        </w:rPr>
        <w:t>: TK-Studie: Studie</w:t>
      </w:r>
    </w:p>
    <w:p w14:paraId="4E6E6D8E" w14:textId="77777777" w:rsidR="004D2ADF" w:rsidRPr="002541AA" w:rsidRDefault="004D2ADF" w:rsidP="00BE136B">
      <w:pPr>
        <w:spacing w:line="276" w:lineRule="auto"/>
        <w:rPr>
          <w:rFonts w:cs="Arial"/>
          <w:sz w:val="22"/>
          <w:szCs w:val="22"/>
        </w:rPr>
      </w:pPr>
      <w:r w:rsidRPr="002541AA">
        <w:rPr>
          <w:rFonts w:cs="Arial"/>
          <w:sz w:val="22"/>
          <w:szCs w:val="22"/>
        </w:rPr>
        <w:t xml:space="preserve">Einen Einblick in das Essverhalten von Menschen </w:t>
      </w:r>
      <w:r w:rsidRPr="002541AA">
        <w:rPr>
          <w:rFonts w:cs="Arial"/>
          <w:sz w:val="22"/>
          <w:szCs w:val="22"/>
          <w:cs/>
          <w:lang w:bidi="mr-IN"/>
        </w:rPr>
        <w:t>–</w:t>
      </w:r>
      <w:r w:rsidRPr="002541AA">
        <w:rPr>
          <w:rFonts w:cs="Arial"/>
          <w:sz w:val="22"/>
          <w:szCs w:val="22"/>
        </w:rPr>
        <w:t xml:space="preserve"> unter anderem bei der Arbeit </w:t>
      </w:r>
      <w:r w:rsidRPr="002541AA">
        <w:rPr>
          <w:rFonts w:cs="Arial"/>
          <w:sz w:val="22"/>
          <w:szCs w:val="22"/>
          <w:cs/>
          <w:lang w:bidi="mr-IN"/>
        </w:rPr>
        <w:t>–</w:t>
      </w:r>
      <w:r w:rsidRPr="002541AA">
        <w:rPr>
          <w:rFonts w:cs="Arial"/>
          <w:sz w:val="22"/>
          <w:szCs w:val="22"/>
        </w:rPr>
        <w:t xml:space="preserve"> gibt die Ernährungsstudie „Iss was, Deutschland“ der Techniker Krankenkasse aus dem Jahr 2017. Dieser Studie liegt eine </w:t>
      </w:r>
      <w:r w:rsidRPr="002541AA">
        <w:rPr>
          <w:rFonts w:cs="Arial"/>
          <w:sz w:val="22"/>
          <w:szCs w:val="22"/>
        </w:rPr>
        <w:lastRenderedPageBreak/>
        <w:t>repräsentative Befragung des Meinungsforschungsinstituts Forsa zugrunde, an der 1.200 deutschsprachige Erwachsene teilgenommen haben. Eine erste, vergleichbare Studie wurde bereits im Jahr 2013 durchgeführt.</w:t>
      </w:r>
    </w:p>
    <w:p w14:paraId="641B2BE6" w14:textId="77777777" w:rsidR="00FD4C88" w:rsidRPr="002541AA" w:rsidRDefault="00FD4C88" w:rsidP="00BE136B">
      <w:pPr>
        <w:spacing w:line="276" w:lineRule="auto"/>
        <w:rPr>
          <w:rFonts w:cs="Arial"/>
          <w:sz w:val="22"/>
          <w:szCs w:val="22"/>
        </w:rPr>
      </w:pPr>
    </w:p>
    <w:p w14:paraId="53E0FDC5" w14:textId="4913C9D3" w:rsidR="00FD4C88" w:rsidRPr="002541AA" w:rsidRDefault="00FD4C88" w:rsidP="00A92659">
      <w:pPr>
        <w:spacing w:line="360" w:lineRule="auto"/>
        <w:rPr>
          <w:rFonts w:cs="Arial"/>
          <w:sz w:val="22"/>
          <w:szCs w:val="22"/>
          <w:u w:val="single"/>
        </w:rPr>
      </w:pPr>
      <w:r w:rsidRPr="002541AA">
        <w:rPr>
          <w:rFonts w:cs="Arial"/>
          <w:sz w:val="22"/>
          <w:szCs w:val="22"/>
          <w:u w:val="single"/>
        </w:rPr>
        <w:t>Folie 17</w:t>
      </w:r>
      <w:r w:rsidR="00BE136B" w:rsidRPr="002541AA">
        <w:rPr>
          <w:rFonts w:cs="Arial"/>
          <w:sz w:val="22"/>
          <w:szCs w:val="22"/>
          <w:u w:val="single"/>
        </w:rPr>
        <w:t>: TK-Studie: Ergebnisse 1</w:t>
      </w:r>
    </w:p>
    <w:p w14:paraId="04A6CC28" w14:textId="276806C1" w:rsidR="0077143D" w:rsidRPr="002541AA" w:rsidRDefault="00263AF9" w:rsidP="00BE136B">
      <w:pPr>
        <w:spacing w:line="276" w:lineRule="auto"/>
        <w:rPr>
          <w:rFonts w:cs="Arial"/>
          <w:sz w:val="22"/>
          <w:szCs w:val="22"/>
        </w:rPr>
      </w:pPr>
      <w:r w:rsidRPr="002541AA">
        <w:rPr>
          <w:rFonts w:cs="Arial"/>
          <w:sz w:val="22"/>
          <w:szCs w:val="22"/>
        </w:rPr>
        <w:t>Laut der Studie der Techniker Krankenkasse</w:t>
      </w:r>
      <w:r w:rsidR="00B03966" w:rsidRPr="002541AA">
        <w:rPr>
          <w:rFonts w:cs="Arial"/>
          <w:sz w:val="22"/>
          <w:szCs w:val="22"/>
        </w:rPr>
        <w:t xml:space="preserve"> spielt bei der Ernährung das Thema Gesundheit eine große Rolle. </w:t>
      </w:r>
      <w:r w:rsidR="00C0665F" w:rsidRPr="002541AA">
        <w:rPr>
          <w:rFonts w:cs="Arial"/>
          <w:sz w:val="22"/>
          <w:szCs w:val="22"/>
        </w:rPr>
        <w:t>Auf d</w:t>
      </w:r>
      <w:r w:rsidR="00C81895" w:rsidRPr="002541AA">
        <w:rPr>
          <w:rFonts w:cs="Arial"/>
          <w:sz w:val="22"/>
          <w:szCs w:val="22"/>
        </w:rPr>
        <w:t>ie Frage, was den Menschen bei i</w:t>
      </w:r>
      <w:r w:rsidR="00C0665F" w:rsidRPr="002541AA">
        <w:rPr>
          <w:rFonts w:cs="Arial"/>
          <w:sz w:val="22"/>
          <w:szCs w:val="22"/>
        </w:rPr>
        <w:t>hrer Ernährun</w:t>
      </w:r>
      <w:r w:rsidR="0077143D" w:rsidRPr="002541AA">
        <w:rPr>
          <w:rFonts w:cs="Arial"/>
          <w:sz w:val="22"/>
          <w:szCs w:val="22"/>
        </w:rPr>
        <w:t>g am wichtigsten sei, antworte</w:t>
      </w:r>
      <w:r w:rsidRPr="002541AA">
        <w:rPr>
          <w:rFonts w:cs="Arial"/>
          <w:sz w:val="22"/>
          <w:szCs w:val="22"/>
        </w:rPr>
        <w:t>te</w:t>
      </w:r>
      <w:r w:rsidR="0077143D" w:rsidRPr="002541AA">
        <w:rPr>
          <w:rFonts w:cs="Arial"/>
          <w:sz w:val="22"/>
          <w:szCs w:val="22"/>
        </w:rPr>
        <w:t xml:space="preserve">n die meisten Befragten </w:t>
      </w:r>
      <w:r w:rsidRPr="002541AA">
        <w:rPr>
          <w:rFonts w:cs="Arial"/>
          <w:sz w:val="22"/>
          <w:szCs w:val="22"/>
        </w:rPr>
        <w:t xml:space="preserve">– und von ihnen vor allem Frauen – </w:t>
      </w:r>
      <w:r w:rsidR="0077143D" w:rsidRPr="002541AA">
        <w:rPr>
          <w:rFonts w:cs="Arial"/>
          <w:sz w:val="22"/>
          <w:szCs w:val="22"/>
        </w:rPr>
        <w:t xml:space="preserve">mit „Hauptsache gesund“; </w:t>
      </w:r>
      <w:r w:rsidR="00C0665F" w:rsidRPr="002541AA">
        <w:rPr>
          <w:rFonts w:cs="Arial"/>
          <w:sz w:val="22"/>
          <w:szCs w:val="22"/>
        </w:rPr>
        <w:t>im Jahr 2013</w:t>
      </w:r>
      <w:r w:rsidR="0077143D" w:rsidRPr="002541AA">
        <w:rPr>
          <w:rFonts w:cs="Arial"/>
          <w:sz w:val="22"/>
          <w:szCs w:val="22"/>
        </w:rPr>
        <w:t xml:space="preserve"> </w:t>
      </w:r>
      <w:r w:rsidR="00C0665F" w:rsidRPr="002541AA">
        <w:rPr>
          <w:rFonts w:cs="Arial"/>
          <w:sz w:val="22"/>
          <w:szCs w:val="22"/>
        </w:rPr>
        <w:t xml:space="preserve">war </w:t>
      </w:r>
      <w:r w:rsidR="0077143D" w:rsidRPr="002541AA">
        <w:rPr>
          <w:rFonts w:cs="Arial"/>
          <w:sz w:val="22"/>
          <w:szCs w:val="22"/>
        </w:rPr>
        <w:t xml:space="preserve">noch </w:t>
      </w:r>
      <w:r w:rsidR="00C0665F" w:rsidRPr="002541AA">
        <w:rPr>
          <w:rFonts w:cs="Arial"/>
          <w:sz w:val="22"/>
          <w:szCs w:val="22"/>
        </w:rPr>
        <w:t xml:space="preserve">„Hauptsache </w:t>
      </w:r>
      <w:r w:rsidR="0077143D" w:rsidRPr="002541AA">
        <w:rPr>
          <w:rFonts w:cs="Arial"/>
          <w:sz w:val="22"/>
          <w:szCs w:val="22"/>
        </w:rPr>
        <w:t>lecker</w:t>
      </w:r>
      <w:r w:rsidR="00C0665F" w:rsidRPr="002541AA">
        <w:rPr>
          <w:rFonts w:cs="Arial"/>
          <w:sz w:val="22"/>
          <w:szCs w:val="22"/>
        </w:rPr>
        <w:t>“</w:t>
      </w:r>
      <w:r w:rsidR="0077143D" w:rsidRPr="002541AA">
        <w:rPr>
          <w:rFonts w:cs="Arial"/>
          <w:sz w:val="22"/>
          <w:szCs w:val="22"/>
        </w:rPr>
        <w:t xml:space="preserve"> die häufigste Antwort.</w:t>
      </w:r>
    </w:p>
    <w:p w14:paraId="0E9C730B" w14:textId="77777777" w:rsidR="006246EE" w:rsidRPr="002541AA" w:rsidRDefault="006246EE" w:rsidP="00BE136B">
      <w:pPr>
        <w:spacing w:line="276" w:lineRule="auto"/>
        <w:rPr>
          <w:rFonts w:cs="Arial"/>
          <w:sz w:val="22"/>
          <w:szCs w:val="22"/>
        </w:rPr>
      </w:pPr>
    </w:p>
    <w:p w14:paraId="693B962C" w14:textId="489E92E0" w:rsidR="000229B5" w:rsidRPr="002541AA" w:rsidRDefault="00B03966" w:rsidP="00A92659">
      <w:pPr>
        <w:spacing w:line="360" w:lineRule="auto"/>
        <w:rPr>
          <w:rFonts w:cs="Arial"/>
          <w:sz w:val="22"/>
          <w:szCs w:val="22"/>
          <w:u w:val="single"/>
        </w:rPr>
      </w:pPr>
      <w:r w:rsidRPr="002541AA">
        <w:rPr>
          <w:rFonts w:cs="Arial"/>
          <w:sz w:val="22"/>
          <w:szCs w:val="22"/>
          <w:u w:val="single"/>
        </w:rPr>
        <w:t>Folie 1</w:t>
      </w:r>
      <w:r w:rsidR="00FD4C88" w:rsidRPr="002541AA">
        <w:rPr>
          <w:rFonts w:cs="Arial"/>
          <w:sz w:val="22"/>
          <w:szCs w:val="22"/>
          <w:u w:val="single"/>
        </w:rPr>
        <w:t>8</w:t>
      </w:r>
      <w:r w:rsidR="00BE136B" w:rsidRPr="002541AA">
        <w:rPr>
          <w:rFonts w:cs="Arial"/>
          <w:sz w:val="22"/>
          <w:szCs w:val="22"/>
          <w:u w:val="single"/>
        </w:rPr>
        <w:t>: TK-Studie: Ergebnisse 2</w:t>
      </w:r>
    </w:p>
    <w:p w14:paraId="7C26887C" w14:textId="77777777" w:rsidR="00C0665F" w:rsidRPr="002541AA" w:rsidRDefault="00C0665F" w:rsidP="00BE136B">
      <w:pPr>
        <w:spacing w:line="276" w:lineRule="auto"/>
        <w:rPr>
          <w:rFonts w:cs="Arial"/>
          <w:sz w:val="22"/>
          <w:szCs w:val="22"/>
        </w:rPr>
      </w:pPr>
      <w:r w:rsidRPr="002541AA">
        <w:rPr>
          <w:rFonts w:cs="Arial"/>
          <w:sz w:val="22"/>
          <w:szCs w:val="22"/>
        </w:rPr>
        <w:t xml:space="preserve">Die Ergebnisse der TK-Ernährungsstudie 2017 zur Ernährung und Verpflegung am Arbeitsplatz zeigen: </w:t>
      </w:r>
    </w:p>
    <w:p w14:paraId="6D4EF05C" w14:textId="77777777" w:rsidR="005A03AE" w:rsidRPr="002541AA" w:rsidRDefault="00EC60FD" w:rsidP="00BE136B">
      <w:pPr>
        <w:numPr>
          <w:ilvl w:val="0"/>
          <w:numId w:val="20"/>
        </w:numPr>
        <w:spacing w:line="276" w:lineRule="auto"/>
        <w:rPr>
          <w:rFonts w:cs="Arial"/>
          <w:sz w:val="22"/>
          <w:szCs w:val="22"/>
        </w:rPr>
      </w:pPr>
      <w:r w:rsidRPr="002541AA">
        <w:rPr>
          <w:rFonts w:cs="Arial"/>
          <w:sz w:val="22"/>
          <w:szCs w:val="22"/>
        </w:rPr>
        <w:t xml:space="preserve">Etwa 40 % der befragten Berufstätigen nehmen sich nicht ausreichend Zeit, um in den Arbeitspausen in Ruhe zu essen. </w:t>
      </w:r>
    </w:p>
    <w:p w14:paraId="0867E83F" w14:textId="31C920AC" w:rsidR="005A03AE" w:rsidRPr="002541AA" w:rsidRDefault="00D260D3" w:rsidP="00BE136B">
      <w:pPr>
        <w:numPr>
          <w:ilvl w:val="0"/>
          <w:numId w:val="20"/>
        </w:numPr>
        <w:spacing w:line="276" w:lineRule="auto"/>
        <w:rPr>
          <w:rFonts w:cs="Arial"/>
          <w:sz w:val="22"/>
          <w:szCs w:val="22"/>
        </w:rPr>
      </w:pPr>
      <w:r w:rsidRPr="002541AA">
        <w:rPr>
          <w:rFonts w:cs="Arial"/>
          <w:sz w:val="22"/>
          <w:szCs w:val="22"/>
        </w:rPr>
        <w:t xml:space="preserve">Auch das </w:t>
      </w:r>
      <w:r w:rsidR="00EC60FD" w:rsidRPr="002541AA">
        <w:rPr>
          <w:rFonts w:cs="Arial"/>
          <w:sz w:val="22"/>
          <w:szCs w:val="22"/>
        </w:rPr>
        <w:t>Trinkverhalten</w:t>
      </w:r>
      <w:r w:rsidRPr="002541AA">
        <w:rPr>
          <w:rFonts w:cs="Arial"/>
          <w:sz w:val="22"/>
          <w:szCs w:val="22"/>
        </w:rPr>
        <w:t xml:space="preserve"> lässt zu wünschen übrig</w:t>
      </w:r>
      <w:r w:rsidR="00EC60FD" w:rsidRPr="002541AA">
        <w:rPr>
          <w:rFonts w:cs="Arial"/>
          <w:sz w:val="22"/>
          <w:szCs w:val="22"/>
        </w:rPr>
        <w:t xml:space="preserve">: immerhin 43 % vergessen, bei der Arbeit </w:t>
      </w:r>
      <w:r w:rsidRPr="002541AA">
        <w:rPr>
          <w:rFonts w:cs="Arial"/>
          <w:sz w:val="22"/>
          <w:szCs w:val="22"/>
        </w:rPr>
        <w:t>ausreichend</w:t>
      </w:r>
      <w:r w:rsidR="00EC60FD" w:rsidRPr="002541AA">
        <w:rPr>
          <w:rFonts w:cs="Arial"/>
          <w:sz w:val="22"/>
          <w:szCs w:val="22"/>
        </w:rPr>
        <w:t xml:space="preserve"> zu trinken. </w:t>
      </w:r>
      <w:r w:rsidR="0077143D" w:rsidRPr="002541AA">
        <w:rPr>
          <w:rFonts w:cs="Arial"/>
          <w:sz w:val="22"/>
          <w:szCs w:val="22"/>
        </w:rPr>
        <w:t xml:space="preserve">Dies betrifft </w:t>
      </w:r>
      <w:r w:rsidR="00EC60FD" w:rsidRPr="002541AA">
        <w:rPr>
          <w:rFonts w:cs="Arial"/>
          <w:sz w:val="22"/>
          <w:szCs w:val="22"/>
        </w:rPr>
        <w:t>Frauen d</w:t>
      </w:r>
      <w:r w:rsidR="0077143D" w:rsidRPr="002541AA">
        <w:rPr>
          <w:rFonts w:cs="Arial"/>
          <w:sz w:val="22"/>
          <w:szCs w:val="22"/>
        </w:rPr>
        <w:t>eutlich häufiger als Männer</w:t>
      </w:r>
      <w:r w:rsidR="00EC60FD" w:rsidRPr="002541AA">
        <w:rPr>
          <w:rFonts w:cs="Arial"/>
          <w:sz w:val="22"/>
          <w:szCs w:val="22"/>
        </w:rPr>
        <w:t>.</w:t>
      </w:r>
    </w:p>
    <w:p w14:paraId="15455EE1" w14:textId="248E82CE" w:rsidR="005A03AE" w:rsidRPr="002541AA" w:rsidRDefault="0077143D" w:rsidP="00BE136B">
      <w:pPr>
        <w:numPr>
          <w:ilvl w:val="0"/>
          <w:numId w:val="20"/>
        </w:numPr>
        <w:spacing w:line="276" w:lineRule="auto"/>
        <w:rPr>
          <w:rFonts w:cs="Arial"/>
          <w:sz w:val="22"/>
          <w:szCs w:val="22"/>
        </w:rPr>
      </w:pPr>
      <w:r w:rsidRPr="002541AA">
        <w:rPr>
          <w:rFonts w:cs="Arial"/>
          <w:sz w:val="22"/>
          <w:szCs w:val="22"/>
        </w:rPr>
        <w:t xml:space="preserve">Für viele Beschäftigte ist die </w:t>
      </w:r>
      <w:r w:rsidR="00EC60FD" w:rsidRPr="002541AA">
        <w:rPr>
          <w:rFonts w:cs="Arial"/>
          <w:sz w:val="22"/>
          <w:szCs w:val="22"/>
        </w:rPr>
        <w:t xml:space="preserve">Hauptmahlzeit des Tages das Abendessen: </w:t>
      </w:r>
      <w:r w:rsidR="00D260D3" w:rsidRPr="002541AA">
        <w:rPr>
          <w:rFonts w:cs="Arial"/>
          <w:sz w:val="22"/>
          <w:szCs w:val="22"/>
        </w:rPr>
        <w:t xml:space="preserve">so essen </w:t>
      </w:r>
      <w:r w:rsidR="00EC60FD" w:rsidRPr="002541AA">
        <w:rPr>
          <w:rFonts w:cs="Arial"/>
          <w:sz w:val="22"/>
          <w:szCs w:val="22"/>
        </w:rPr>
        <w:t>42 % der Befragten während der Arbeitszeit eher wenig, dafür nach Feierabend umso reichlicher.</w:t>
      </w:r>
    </w:p>
    <w:p w14:paraId="215594BD" w14:textId="02EC0F3F" w:rsidR="005A03AE" w:rsidRPr="002541AA" w:rsidRDefault="00EC60FD" w:rsidP="00BE136B">
      <w:pPr>
        <w:numPr>
          <w:ilvl w:val="0"/>
          <w:numId w:val="20"/>
        </w:numPr>
        <w:spacing w:line="276" w:lineRule="auto"/>
        <w:rPr>
          <w:rFonts w:cs="Arial"/>
          <w:sz w:val="22"/>
          <w:szCs w:val="22"/>
        </w:rPr>
      </w:pPr>
      <w:r w:rsidRPr="002541AA">
        <w:rPr>
          <w:rFonts w:cs="Arial"/>
          <w:sz w:val="22"/>
          <w:szCs w:val="22"/>
        </w:rPr>
        <w:t>Gut 30 % der Frauen und 40 % der Männer sind der Ansicht, dass d</w:t>
      </w:r>
      <w:r w:rsidR="005F1B87" w:rsidRPr="002541AA">
        <w:rPr>
          <w:rFonts w:cs="Arial"/>
          <w:sz w:val="22"/>
          <w:szCs w:val="22"/>
        </w:rPr>
        <w:t xml:space="preserve">ie mangelnde Verfügbarkeit gesundheitsförderlicher Angebote in der </w:t>
      </w:r>
      <w:r w:rsidRPr="002541AA">
        <w:rPr>
          <w:rFonts w:cs="Arial"/>
          <w:sz w:val="22"/>
          <w:szCs w:val="22"/>
        </w:rPr>
        <w:t>Kantine oder in der Nähe des Arbeitsplatzes eine ge</w:t>
      </w:r>
      <w:r w:rsidR="00B03966" w:rsidRPr="002541AA">
        <w:rPr>
          <w:rFonts w:cs="Arial"/>
          <w:sz w:val="22"/>
          <w:szCs w:val="22"/>
        </w:rPr>
        <w:t xml:space="preserve">sunde Ernährung erschwert. </w:t>
      </w:r>
    </w:p>
    <w:p w14:paraId="6B37D692" w14:textId="77777777" w:rsidR="005A03AE" w:rsidRPr="002541AA" w:rsidRDefault="00EC60FD" w:rsidP="00BE136B">
      <w:pPr>
        <w:numPr>
          <w:ilvl w:val="0"/>
          <w:numId w:val="20"/>
        </w:numPr>
        <w:spacing w:line="276" w:lineRule="auto"/>
        <w:rPr>
          <w:rFonts w:cs="Arial"/>
          <w:sz w:val="22"/>
          <w:szCs w:val="22"/>
        </w:rPr>
      </w:pPr>
      <w:r w:rsidRPr="002541AA">
        <w:rPr>
          <w:rFonts w:cs="Arial"/>
          <w:sz w:val="22"/>
          <w:szCs w:val="22"/>
        </w:rPr>
        <w:t>Etwa jeder 3. Mann und jede 5. Frau kommen während der Arbeit nicht dazu, gesund zu essen.</w:t>
      </w:r>
    </w:p>
    <w:p w14:paraId="582F9CEB" w14:textId="483F89D2" w:rsidR="005A03AE" w:rsidRPr="002541AA" w:rsidRDefault="00B03966" w:rsidP="00BE136B">
      <w:pPr>
        <w:numPr>
          <w:ilvl w:val="0"/>
          <w:numId w:val="20"/>
        </w:numPr>
        <w:spacing w:line="276" w:lineRule="auto"/>
        <w:rPr>
          <w:rFonts w:cs="Arial"/>
          <w:sz w:val="22"/>
          <w:szCs w:val="22"/>
        </w:rPr>
      </w:pPr>
      <w:r w:rsidRPr="002541AA">
        <w:rPr>
          <w:rFonts w:cs="Arial"/>
          <w:sz w:val="22"/>
          <w:szCs w:val="22"/>
        </w:rPr>
        <w:t>E</w:t>
      </w:r>
      <w:r w:rsidR="00EC60FD" w:rsidRPr="002541AA">
        <w:rPr>
          <w:rFonts w:cs="Arial"/>
          <w:sz w:val="22"/>
          <w:szCs w:val="22"/>
        </w:rPr>
        <w:t xml:space="preserve">in Viertel der Befragten </w:t>
      </w:r>
      <w:r w:rsidRPr="002541AA">
        <w:rPr>
          <w:rFonts w:cs="Arial"/>
          <w:sz w:val="22"/>
          <w:szCs w:val="22"/>
        </w:rPr>
        <w:t xml:space="preserve">gibt an, sich </w:t>
      </w:r>
      <w:r w:rsidR="00EC60FD" w:rsidRPr="002541AA">
        <w:rPr>
          <w:rFonts w:cs="Arial"/>
          <w:sz w:val="22"/>
          <w:szCs w:val="22"/>
        </w:rPr>
        <w:t xml:space="preserve">keine Zeit für eine Essenspause </w:t>
      </w:r>
      <w:r w:rsidRPr="002541AA">
        <w:rPr>
          <w:rFonts w:cs="Arial"/>
          <w:sz w:val="22"/>
          <w:szCs w:val="22"/>
        </w:rPr>
        <w:t xml:space="preserve">zu nehmen und </w:t>
      </w:r>
      <w:r w:rsidR="00EC60FD" w:rsidRPr="002541AA">
        <w:rPr>
          <w:rFonts w:cs="Arial"/>
          <w:sz w:val="22"/>
          <w:szCs w:val="22"/>
        </w:rPr>
        <w:t>nebenbei</w:t>
      </w:r>
      <w:r w:rsidRPr="002541AA">
        <w:rPr>
          <w:rFonts w:cs="Arial"/>
          <w:sz w:val="22"/>
          <w:szCs w:val="22"/>
        </w:rPr>
        <w:t xml:space="preserve"> zu essen. </w:t>
      </w:r>
    </w:p>
    <w:p w14:paraId="35A3C335" w14:textId="77777777" w:rsidR="005A03AE" w:rsidRPr="002541AA" w:rsidRDefault="00EC60FD" w:rsidP="00BE136B">
      <w:pPr>
        <w:numPr>
          <w:ilvl w:val="0"/>
          <w:numId w:val="20"/>
        </w:numPr>
        <w:spacing w:line="276" w:lineRule="auto"/>
        <w:rPr>
          <w:rFonts w:cs="Arial"/>
          <w:sz w:val="22"/>
          <w:szCs w:val="22"/>
        </w:rPr>
      </w:pPr>
      <w:r w:rsidRPr="002541AA">
        <w:rPr>
          <w:rFonts w:cs="Arial"/>
          <w:sz w:val="22"/>
          <w:szCs w:val="22"/>
        </w:rPr>
        <w:t xml:space="preserve">Mehr als ein Fünftel beschäftigt sich während der Pause mit dem Smartphone. Dies gilt insbesondere für junge Berufstätige zwischen 18 und 25 Jahren. </w:t>
      </w:r>
    </w:p>
    <w:p w14:paraId="46F09920" w14:textId="77777777" w:rsidR="00166348" w:rsidRPr="002541AA" w:rsidRDefault="00EC60FD" w:rsidP="00BE136B">
      <w:pPr>
        <w:numPr>
          <w:ilvl w:val="0"/>
          <w:numId w:val="20"/>
        </w:numPr>
        <w:spacing w:line="276" w:lineRule="auto"/>
        <w:rPr>
          <w:rFonts w:cs="Arial"/>
          <w:sz w:val="22"/>
          <w:szCs w:val="22"/>
        </w:rPr>
      </w:pPr>
      <w:r w:rsidRPr="002541AA">
        <w:rPr>
          <w:rFonts w:cs="Arial"/>
          <w:sz w:val="22"/>
          <w:szCs w:val="22"/>
        </w:rPr>
        <w:t xml:space="preserve">Schokoriegel sind im Job bei vielen </w:t>
      </w:r>
      <w:r w:rsidR="008A2680" w:rsidRPr="002541AA">
        <w:rPr>
          <w:rFonts w:cs="Arial"/>
          <w:sz w:val="22"/>
          <w:szCs w:val="22"/>
        </w:rPr>
        <w:t xml:space="preserve">Beschäftigten </w:t>
      </w:r>
      <w:r w:rsidRPr="002541AA">
        <w:rPr>
          <w:rFonts w:cs="Arial"/>
          <w:sz w:val="22"/>
          <w:szCs w:val="22"/>
        </w:rPr>
        <w:t>nich</w:t>
      </w:r>
      <w:r w:rsidR="00A5346C" w:rsidRPr="002541AA">
        <w:rPr>
          <w:rFonts w:cs="Arial"/>
          <w:sz w:val="22"/>
          <w:szCs w:val="22"/>
        </w:rPr>
        <w:t>t w</w:t>
      </w:r>
      <w:r w:rsidR="00166348" w:rsidRPr="002541AA">
        <w:rPr>
          <w:rFonts w:cs="Arial"/>
          <w:sz w:val="22"/>
          <w:szCs w:val="22"/>
        </w:rPr>
        <w:t>egzudenken. Immerhin sind es</w:t>
      </w:r>
    </w:p>
    <w:p w14:paraId="668487F1" w14:textId="1F923464" w:rsidR="005A03AE" w:rsidRPr="002541AA" w:rsidRDefault="00A5346C" w:rsidP="00BE136B">
      <w:pPr>
        <w:spacing w:line="276" w:lineRule="auto"/>
        <w:ind w:left="720"/>
        <w:rPr>
          <w:rFonts w:cs="Arial"/>
          <w:sz w:val="22"/>
          <w:szCs w:val="22"/>
        </w:rPr>
      </w:pPr>
      <w:r w:rsidRPr="002541AA">
        <w:rPr>
          <w:rFonts w:cs="Arial"/>
          <w:sz w:val="22"/>
          <w:szCs w:val="22"/>
        </w:rPr>
        <w:t xml:space="preserve">15 </w:t>
      </w:r>
      <w:r w:rsidR="00EC60FD" w:rsidRPr="002541AA">
        <w:rPr>
          <w:rFonts w:cs="Arial"/>
          <w:sz w:val="22"/>
          <w:szCs w:val="22"/>
        </w:rPr>
        <w:t>% der Befragten, die über den Tag hinweg „so ganz nebenbei“ bei der Arbeit etwas Süßes essen.</w:t>
      </w:r>
    </w:p>
    <w:p w14:paraId="7524F536" w14:textId="77777777" w:rsidR="00BB7EC6" w:rsidRPr="002541AA" w:rsidRDefault="00BB7EC6" w:rsidP="00BE136B">
      <w:pPr>
        <w:spacing w:line="276" w:lineRule="auto"/>
        <w:rPr>
          <w:rFonts w:cs="Arial"/>
          <w:sz w:val="22"/>
          <w:szCs w:val="22"/>
        </w:rPr>
      </w:pPr>
    </w:p>
    <w:p w14:paraId="5E100639" w14:textId="3BE95415" w:rsidR="000229B5" w:rsidRPr="002541AA" w:rsidRDefault="00FD4C88" w:rsidP="00A92659">
      <w:pPr>
        <w:spacing w:line="360" w:lineRule="auto"/>
        <w:rPr>
          <w:rFonts w:cs="Arial"/>
          <w:sz w:val="22"/>
          <w:szCs w:val="22"/>
          <w:u w:val="single"/>
        </w:rPr>
      </w:pPr>
      <w:r w:rsidRPr="002541AA">
        <w:rPr>
          <w:rFonts w:cs="Arial"/>
          <w:sz w:val="22"/>
          <w:szCs w:val="22"/>
          <w:u w:val="single"/>
        </w:rPr>
        <w:t>Folie 19</w:t>
      </w:r>
      <w:r w:rsidR="00BE136B" w:rsidRPr="002541AA">
        <w:rPr>
          <w:rFonts w:cs="Arial"/>
          <w:sz w:val="22"/>
          <w:szCs w:val="22"/>
          <w:u w:val="single"/>
        </w:rPr>
        <w:t>: TK-Studie: Ergebnisse 3</w:t>
      </w:r>
    </w:p>
    <w:p w14:paraId="518D2DE0" w14:textId="77777777" w:rsidR="00C0665F" w:rsidRPr="002541AA" w:rsidRDefault="00C0665F" w:rsidP="00BE136B">
      <w:pPr>
        <w:spacing w:line="276" w:lineRule="auto"/>
        <w:rPr>
          <w:rFonts w:cs="Arial"/>
          <w:sz w:val="22"/>
          <w:szCs w:val="22"/>
        </w:rPr>
      </w:pPr>
      <w:r w:rsidRPr="002541AA">
        <w:rPr>
          <w:rFonts w:cs="Arial"/>
          <w:sz w:val="22"/>
          <w:szCs w:val="22"/>
        </w:rPr>
        <w:t xml:space="preserve">Zusammenfassend kann man sagen, dass den Befragten Gesundheit sehr wichtig ist, aber gesundheitsförderliches Essverhalten nicht zufriedenstellend umgesetzt wird: </w:t>
      </w:r>
    </w:p>
    <w:p w14:paraId="358EB083" w14:textId="353DC7C7" w:rsidR="005A03AE" w:rsidRPr="002541AA" w:rsidRDefault="00EC60FD" w:rsidP="00BE136B">
      <w:pPr>
        <w:numPr>
          <w:ilvl w:val="0"/>
          <w:numId w:val="21"/>
        </w:numPr>
        <w:spacing w:line="276" w:lineRule="auto"/>
        <w:rPr>
          <w:rFonts w:cs="Arial"/>
          <w:sz w:val="22"/>
          <w:szCs w:val="22"/>
        </w:rPr>
      </w:pPr>
      <w:r w:rsidRPr="002541AA">
        <w:rPr>
          <w:rFonts w:cs="Arial"/>
          <w:sz w:val="22"/>
          <w:szCs w:val="22"/>
        </w:rPr>
        <w:t xml:space="preserve">Etwa der Hälfte der Befragten fehlt es an Zeit und Ruhe </w:t>
      </w:r>
      <w:r w:rsidR="003117E7" w:rsidRPr="002541AA">
        <w:rPr>
          <w:rFonts w:cs="Arial"/>
          <w:sz w:val="22"/>
          <w:szCs w:val="22"/>
        </w:rPr>
        <w:t>bzw. an Durchhaltevermögen</w:t>
      </w:r>
      <w:r w:rsidR="00B03966" w:rsidRPr="002541AA">
        <w:rPr>
          <w:rFonts w:cs="Arial"/>
          <w:sz w:val="22"/>
          <w:szCs w:val="22"/>
        </w:rPr>
        <w:t xml:space="preserve">. </w:t>
      </w:r>
    </w:p>
    <w:p w14:paraId="3E166EE0" w14:textId="21BAD926" w:rsidR="005A03AE" w:rsidRPr="002541AA" w:rsidRDefault="00EC60FD" w:rsidP="00BE136B">
      <w:pPr>
        <w:numPr>
          <w:ilvl w:val="0"/>
          <w:numId w:val="21"/>
        </w:numPr>
        <w:spacing w:line="276" w:lineRule="auto"/>
        <w:rPr>
          <w:rFonts w:cs="Arial"/>
          <w:sz w:val="22"/>
          <w:szCs w:val="22"/>
        </w:rPr>
      </w:pPr>
      <w:r w:rsidRPr="002541AA">
        <w:rPr>
          <w:rFonts w:cs="Arial"/>
          <w:sz w:val="22"/>
          <w:szCs w:val="22"/>
        </w:rPr>
        <w:t>Etwa ein Drittel gibt an, mangelnde Kochkenntnisse</w:t>
      </w:r>
      <w:r w:rsidR="00211C3B" w:rsidRPr="002541AA">
        <w:rPr>
          <w:rFonts w:cs="Arial"/>
          <w:sz w:val="22"/>
          <w:szCs w:val="22"/>
        </w:rPr>
        <w:t xml:space="preserve"> oder nicht genug Geld für </w:t>
      </w:r>
      <w:r w:rsidR="001074ED" w:rsidRPr="002541AA">
        <w:rPr>
          <w:rFonts w:cs="Arial"/>
          <w:sz w:val="22"/>
          <w:szCs w:val="22"/>
        </w:rPr>
        <w:t xml:space="preserve">eine </w:t>
      </w:r>
      <w:r w:rsidR="00211C3B" w:rsidRPr="002541AA">
        <w:rPr>
          <w:rFonts w:cs="Arial"/>
          <w:sz w:val="22"/>
          <w:szCs w:val="22"/>
        </w:rPr>
        <w:t>gesunde Ernährung</w:t>
      </w:r>
      <w:r w:rsidRPr="002541AA">
        <w:rPr>
          <w:rFonts w:cs="Arial"/>
          <w:sz w:val="22"/>
          <w:szCs w:val="22"/>
        </w:rPr>
        <w:t xml:space="preserve"> zu haben.</w:t>
      </w:r>
    </w:p>
    <w:p w14:paraId="7DA866AE" w14:textId="16959E48" w:rsidR="005A03AE" w:rsidRPr="002541AA" w:rsidRDefault="00EC60FD" w:rsidP="00BE136B">
      <w:pPr>
        <w:numPr>
          <w:ilvl w:val="0"/>
          <w:numId w:val="21"/>
        </w:numPr>
        <w:spacing w:line="276" w:lineRule="auto"/>
        <w:rPr>
          <w:rFonts w:cs="Arial"/>
          <w:sz w:val="22"/>
          <w:szCs w:val="22"/>
        </w:rPr>
      </w:pPr>
      <w:r w:rsidRPr="002541AA">
        <w:rPr>
          <w:rFonts w:cs="Arial"/>
          <w:sz w:val="22"/>
          <w:szCs w:val="22"/>
        </w:rPr>
        <w:t>Einem Viertel fehlt es an besseren Voraus</w:t>
      </w:r>
      <w:r w:rsidR="00211C3B" w:rsidRPr="002541AA">
        <w:rPr>
          <w:rFonts w:cs="Arial"/>
          <w:sz w:val="22"/>
          <w:szCs w:val="22"/>
        </w:rPr>
        <w:t>setzungen am Arbeitsplatz bzw. an Wissen.</w:t>
      </w:r>
      <w:r w:rsidRPr="002541AA">
        <w:rPr>
          <w:rFonts w:cs="Arial"/>
          <w:sz w:val="22"/>
          <w:szCs w:val="22"/>
        </w:rPr>
        <w:t xml:space="preserve"> </w:t>
      </w:r>
    </w:p>
    <w:p w14:paraId="40782336" w14:textId="2B61D1F3" w:rsidR="005A03AE" w:rsidRPr="002541AA" w:rsidRDefault="00211C3B" w:rsidP="00BE136B">
      <w:pPr>
        <w:numPr>
          <w:ilvl w:val="0"/>
          <w:numId w:val="21"/>
        </w:numPr>
        <w:spacing w:line="276" w:lineRule="auto"/>
        <w:rPr>
          <w:rFonts w:cs="Arial"/>
          <w:sz w:val="22"/>
          <w:szCs w:val="22"/>
        </w:rPr>
      </w:pPr>
      <w:r w:rsidRPr="002541AA">
        <w:rPr>
          <w:rFonts w:cs="Arial"/>
          <w:sz w:val="22"/>
          <w:szCs w:val="22"/>
        </w:rPr>
        <w:t>Etwa jeder bzw. jede 5.</w:t>
      </w:r>
      <w:r w:rsidR="00EC60FD" w:rsidRPr="002541AA">
        <w:rPr>
          <w:rFonts w:cs="Arial"/>
          <w:sz w:val="22"/>
          <w:szCs w:val="22"/>
        </w:rPr>
        <w:t xml:space="preserve"> würde sich </w:t>
      </w:r>
      <w:r w:rsidRPr="002541AA">
        <w:rPr>
          <w:rFonts w:cs="Arial"/>
          <w:sz w:val="22"/>
          <w:szCs w:val="22"/>
        </w:rPr>
        <w:t xml:space="preserve">mehr Unterstützung durch die Familie </w:t>
      </w:r>
      <w:r w:rsidR="001074ED" w:rsidRPr="002541AA">
        <w:rPr>
          <w:rFonts w:cs="Arial"/>
          <w:sz w:val="22"/>
          <w:szCs w:val="22"/>
        </w:rPr>
        <w:t xml:space="preserve">bzw. eine Beratung zur gesundheitsförderlichen Ernährung </w:t>
      </w:r>
      <w:r w:rsidR="00EC60FD" w:rsidRPr="002541AA">
        <w:rPr>
          <w:rFonts w:cs="Arial"/>
          <w:sz w:val="22"/>
          <w:szCs w:val="22"/>
        </w:rPr>
        <w:t xml:space="preserve">wünschen. </w:t>
      </w:r>
    </w:p>
    <w:p w14:paraId="40C9485B" w14:textId="20B9152E" w:rsidR="00745B69" w:rsidRPr="002541AA" w:rsidRDefault="00211C3B" w:rsidP="00BE136B">
      <w:pPr>
        <w:numPr>
          <w:ilvl w:val="0"/>
          <w:numId w:val="21"/>
        </w:numPr>
        <w:spacing w:line="276" w:lineRule="auto"/>
        <w:rPr>
          <w:rFonts w:cs="Arial"/>
          <w:sz w:val="22"/>
          <w:szCs w:val="22"/>
          <w:u w:val="single"/>
        </w:rPr>
      </w:pPr>
      <w:r w:rsidRPr="002541AA">
        <w:rPr>
          <w:rFonts w:cs="Arial"/>
          <w:sz w:val="22"/>
          <w:szCs w:val="22"/>
        </w:rPr>
        <w:t>Tatsächlich haben nur</w:t>
      </w:r>
      <w:r w:rsidR="00EC60FD" w:rsidRPr="002541AA">
        <w:rPr>
          <w:rFonts w:cs="Arial"/>
          <w:sz w:val="22"/>
          <w:szCs w:val="22"/>
        </w:rPr>
        <w:t xml:space="preserve"> 2 % der Befragten </w:t>
      </w:r>
      <w:r w:rsidRPr="002541AA">
        <w:rPr>
          <w:rFonts w:cs="Arial"/>
          <w:sz w:val="22"/>
          <w:szCs w:val="22"/>
        </w:rPr>
        <w:t xml:space="preserve">gar </w:t>
      </w:r>
      <w:r w:rsidR="00EC60FD" w:rsidRPr="002541AA">
        <w:rPr>
          <w:rFonts w:cs="Arial"/>
          <w:sz w:val="22"/>
          <w:szCs w:val="22"/>
        </w:rPr>
        <w:t>kein Interesse an gesunder Ernährung</w:t>
      </w:r>
      <w:r w:rsidR="002F2BEB" w:rsidRPr="002541AA">
        <w:rPr>
          <w:rFonts w:cs="Arial"/>
          <w:sz w:val="22"/>
          <w:szCs w:val="22"/>
        </w:rPr>
        <w:t>.</w:t>
      </w:r>
    </w:p>
    <w:p w14:paraId="5AC875C8" w14:textId="08110DDB" w:rsidR="002F2BEB" w:rsidRPr="002541AA" w:rsidRDefault="001074ED" w:rsidP="00BE136B">
      <w:pPr>
        <w:numPr>
          <w:ilvl w:val="0"/>
          <w:numId w:val="21"/>
        </w:numPr>
        <w:spacing w:line="276" w:lineRule="auto"/>
        <w:rPr>
          <w:rFonts w:cs="Arial"/>
          <w:sz w:val="22"/>
          <w:szCs w:val="22"/>
        </w:rPr>
      </w:pPr>
      <w:r w:rsidRPr="002541AA">
        <w:rPr>
          <w:rFonts w:cs="Arial"/>
          <w:sz w:val="22"/>
          <w:szCs w:val="22"/>
        </w:rPr>
        <w:t>N</w:t>
      </w:r>
      <w:r w:rsidR="002F2BEB" w:rsidRPr="002541AA">
        <w:rPr>
          <w:rFonts w:cs="Arial"/>
          <w:sz w:val="22"/>
          <w:szCs w:val="22"/>
        </w:rPr>
        <w:t xml:space="preserve">ur </w:t>
      </w:r>
      <w:r w:rsidR="008A2680" w:rsidRPr="002541AA">
        <w:rPr>
          <w:rFonts w:cs="Arial"/>
          <w:sz w:val="22"/>
          <w:szCs w:val="22"/>
        </w:rPr>
        <w:t xml:space="preserve">jeder Zehnte </w:t>
      </w:r>
      <w:r w:rsidR="002F2BEB" w:rsidRPr="002541AA">
        <w:rPr>
          <w:rFonts w:cs="Arial"/>
          <w:sz w:val="22"/>
          <w:szCs w:val="22"/>
        </w:rPr>
        <w:t xml:space="preserve">der Befragten </w:t>
      </w:r>
      <w:r w:rsidR="008A2680" w:rsidRPr="002541AA">
        <w:rPr>
          <w:rFonts w:cs="Arial"/>
          <w:sz w:val="22"/>
          <w:szCs w:val="22"/>
        </w:rPr>
        <w:t>gibt</w:t>
      </w:r>
      <w:r w:rsidR="002F2BEB" w:rsidRPr="002541AA">
        <w:rPr>
          <w:rFonts w:cs="Arial"/>
          <w:sz w:val="22"/>
          <w:szCs w:val="22"/>
        </w:rPr>
        <w:t xml:space="preserve"> an, gesund zu essen.</w:t>
      </w:r>
    </w:p>
    <w:p w14:paraId="55A360FB" w14:textId="5C5EFA9F" w:rsidR="004434CB" w:rsidRPr="00A92659" w:rsidRDefault="002F2BEB" w:rsidP="00BE136B">
      <w:pPr>
        <w:spacing w:line="276" w:lineRule="auto"/>
        <w:rPr>
          <w:rFonts w:cs="Arial"/>
          <w:sz w:val="22"/>
          <w:szCs w:val="22"/>
        </w:rPr>
      </w:pPr>
      <w:r w:rsidRPr="002541AA">
        <w:rPr>
          <w:rFonts w:cs="Arial"/>
          <w:sz w:val="22"/>
          <w:szCs w:val="22"/>
        </w:rPr>
        <w:t>Anhand d</w:t>
      </w:r>
      <w:r w:rsidR="008A2680" w:rsidRPr="002541AA">
        <w:rPr>
          <w:rFonts w:cs="Arial"/>
          <w:sz w:val="22"/>
          <w:szCs w:val="22"/>
        </w:rPr>
        <w:t xml:space="preserve">ieser Daten </w:t>
      </w:r>
      <w:r w:rsidRPr="002541AA">
        <w:rPr>
          <w:rFonts w:cs="Arial"/>
          <w:sz w:val="22"/>
          <w:szCs w:val="22"/>
        </w:rPr>
        <w:t xml:space="preserve">wird deutlich, dass sowohl individuelle Faktoren wie Zeit, Geld und Interesse, aber auch äußere Umstände wie die Verfügbarkeit von </w:t>
      </w:r>
      <w:r w:rsidR="001074ED" w:rsidRPr="002541AA">
        <w:rPr>
          <w:rFonts w:cs="Arial"/>
          <w:sz w:val="22"/>
          <w:szCs w:val="22"/>
        </w:rPr>
        <w:t xml:space="preserve">gesundheitsförderlichen Verpflegungsangeboten </w:t>
      </w:r>
      <w:r w:rsidRPr="002541AA">
        <w:rPr>
          <w:rFonts w:cs="Arial"/>
          <w:sz w:val="22"/>
          <w:szCs w:val="22"/>
        </w:rPr>
        <w:t>einen Einfluss auf das Essverhalten der Beschäftigten haben.</w:t>
      </w:r>
    </w:p>
    <w:p w14:paraId="68521B0C" w14:textId="014B766F" w:rsidR="00745B69" w:rsidRPr="002541AA" w:rsidRDefault="00C01D36" w:rsidP="00A92659">
      <w:pPr>
        <w:spacing w:line="360" w:lineRule="auto"/>
        <w:rPr>
          <w:rFonts w:cs="Arial"/>
          <w:sz w:val="22"/>
          <w:szCs w:val="22"/>
          <w:u w:val="single"/>
        </w:rPr>
      </w:pPr>
      <w:r w:rsidRPr="002541AA">
        <w:rPr>
          <w:rFonts w:cs="Arial"/>
          <w:sz w:val="22"/>
          <w:szCs w:val="22"/>
          <w:u w:val="single"/>
        </w:rPr>
        <w:lastRenderedPageBreak/>
        <w:t>Folie 20</w:t>
      </w:r>
      <w:r w:rsidR="00BE136B" w:rsidRPr="002541AA">
        <w:rPr>
          <w:rFonts w:cs="Arial"/>
          <w:sz w:val="22"/>
          <w:szCs w:val="22"/>
          <w:u w:val="single"/>
        </w:rPr>
        <w:t>: Links</w:t>
      </w:r>
    </w:p>
    <w:p w14:paraId="4D675287" w14:textId="156AE094" w:rsidR="00745B69" w:rsidRPr="002541AA" w:rsidRDefault="00263AF9" w:rsidP="00BE136B">
      <w:pPr>
        <w:spacing w:line="276" w:lineRule="auto"/>
        <w:rPr>
          <w:rFonts w:cs="Arial"/>
          <w:sz w:val="22"/>
          <w:szCs w:val="22"/>
        </w:rPr>
      </w:pPr>
      <w:r w:rsidRPr="002541AA">
        <w:rPr>
          <w:rFonts w:cs="Arial"/>
          <w:sz w:val="22"/>
          <w:szCs w:val="22"/>
        </w:rPr>
        <w:t>Beide</w:t>
      </w:r>
      <w:r w:rsidR="001074ED" w:rsidRPr="002541AA">
        <w:rPr>
          <w:rFonts w:cs="Arial"/>
          <w:sz w:val="22"/>
          <w:szCs w:val="22"/>
        </w:rPr>
        <w:t xml:space="preserve"> TK-Ernährungsstudie</w:t>
      </w:r>
      <w:r w:rsidRPr="002541AA">
        <w:rPr>
          <w:rFonts w:cs="Arial"/>
          <w:sz w:val="22"/>
          <w:szCs w:val="22"/>
        </w:rPr>
        <w:t>n</w:t>
      </w:r>
      <w:r w:rsidR="001074ED" w:rsidRPr="002541AA">
        <w:rPr>
          <w:rFonts w:cs="Arial"/>
          <w:sz w:val="22"/>
          <w:szCs w:val="22"/>
        </w:rPr>
        <w:t xml:space="preserve"> stehen als </w:t>
      </w:r>
      <w:r w:rsidR="00667C8E" w:rsidRPr="002541AA">
        <w:rPr>
          <w:rFonts w:cs="Arial"/>
          <w:sz w:val="22"/>
          <w:szCs w:val="22"/>
        </w:rPr>
        <w:t>PDF</w:t>
      </w:r>
      <w:r w:rsidR="00BB7EC6" w:rsidRPr="002541AA">
        <w:rPr>
          <w:rFonts w:cs="Arial"/>
          <w:sz w:val="22"/>
          <w:szCs w:val="22"/>
        </w:rPr>
        <w:t>-Datei</w:t>
      </w:r>
      <w:r w:rsidRPr="002541AA">
        <w:rPr>
          <w:rFonts w:cs="Arial"/>
          <w:sz w:val="22"/>
          <w:szCs w:val="22"/>
        </w:rPr>
        <w:t>en</w:t>
      </w:r>
      <w:r w:rsidR="00BB7EC6" w:rsidRPr="002541AA">
        <w:rPr>
          <w:rFonts w:cs="Arial"/>
          <w:sz w:val="22"/>
          <w:szCs w:val="22"/>
        </w:rPr>
        <w:t xml:space="preserve"> zum </w:t>
      </w:r>
      <w:r w:rsidR="001074ED" w:rsidRPr="002541AA">
        <w:rPr>
          <w:rFonts w:cs="Arial"/>
          <w:sz w:val="22"/>
          <w:szCs w:val="22"/>
        </w:rPr>
        <w:t>kostenlose</w:t>
      </w:r>
      <w:r w:rsidR="00BB7EC6" w:rsidRPr="002541AA">
        <w:rPr>
          <w:rFonts w:cs="Arial"/>
          <w:sz w:val="22"/>
          <w:szCs w:val="22"/>
        </w:rPr>
        <w:t>n</w:t>
      </w:r>
      <w:r w:rsidR="00AB0A05" w:rsidRPr="002541AA">
        <w:rPr>
          <w:rFonts w:cs="Arial"/>
          <w:sz w:val="22"/>
          <w:szCs w:val="22"/>
        </w:rPr>
        <w:t xml:space="preserve"> D</w:t>
      </w:r>
      <w:r w:rsidR="001074ED" w:rsidRPr="002541AA">
        <w:rPr>
          <w:rFonts w:cs="Arial"/>
          <w:sz w:val="22"/>
          <w:szCs w:val="22"/>
        </w:rPr>
        <w:t xml:space="preserve">ownload zur Verfügung. </w:t>
      </w:r>
    </w:p>
    <w:p w14:paraId="57D76E10" w14:textId="77777777" w:rsidR="006246EE" w:rsidRPr="002541AA" w:rsidRDefault="006246EE" w:rsidP="00BE136B">
      <w:pPr>
        <w:spacing w:line="276" w:lineRule="auto"/>
        <w:rPr>
          <w:rFonts w:cs="Arial"/>
          <w:sz w:val="22"/>
          <w:szCs w:val="22"/>
        </w:rPr>
      </w:pPr>
    </w:p>
    <w:p w14:paraId="0FD5DCDD" w14:textId="19661521" w:rsidR="00745B69" w:rsidRPr="002541AA" w:rsidRDefault="00FD4C88" w:rsidP="00A92659">
      <w:pPr>
        <w:spacing w:line="360" w:lineRule="auto"/>
        <w:rPr>
          <w:rFonts w:cs="Arial"/>
          <w:sz w:val="22"/>
          <w:szCs w:val="22"/>
          <w:u w:val="single"/>
        </w:rPr>
      </w:pPr>
      <w:r w:rsidRPr="002541AA">
        <w:rPr>
          <w:rFonts w:cs="Arial"/>
          <w:sz w:val="22"/>
          <w:szCs w:val="22"/>
          <w:u w:val="single"/>
        </w:rPr>
        <w:t>Folie 22</w:t>
      </w:r>
      <w:r w:rsidR="00BE136B" w:rsidRPr="002541AA">
        <w:rPr>
          <w:rFonts w:cs="Arial"/>
          <w:sz w:val="22"/>
          <w:szCs w:val="22"/>
          <w:u w:val="single"/>
        </w:rPr>
        <w:t>: Ernährungsreport 2018: Studie</w:t>
      </w:r>
    </w:p>
    <w:p w14:paraId="75A6F87E" w14:textId="7EA63546" w:rsidR="004D2ADF" w:rsidRPr="002541AA" w:rsidRDefault="004D2ADF" w:rsidP="00BE136B">
      <w:pPr>
        <w:spacing w:line="276" w:lineRule="auto"/>
        <w:rPr>
          <w:rFonts w:cs="Arial"/>
          <w:sz w:val="22"/>
          <w:szCs w:val="22"/>
        </w:rPr>
      </w:pPr>
      <w:r w:rsidRPr="002541AA">
        <w:rPr>
          <w:rFonts w:cs="Arial"/>
          <w:sz w:val="22"/>
          <w:szCs w:val="22"/>
        </w:rPr>
        <w:t xml:space="preserve">Im Auftrag des Bundesministeriums für Ernährung und Landwirtschaft hat das Meinungsforschungsinstitut Forsa im Jahr 2017 etwa 1.000 Bundesbürgerinnen und -bürger ab 14 Jahren zu ihren Ess- und Einkaufsgewohnheiten befragt. Die wichtigsten Ergebnisse sind im Ernährungsreport 2018 </w:t>
      </w:r>
      <w:r w:rsidR="008A2680" w:rsidRPr="002541AA">
        <w:rPr>
          <w:rFonts w:cs="Arial"/>
          <w:i/>
          <w:iCs/>
          <w:sz w:val="22"/>
          <w:szCs w:val="22"/>
        </w:rPr>
        <w:t>Deutschland, wie es isst</w:t>
      </w:r>
      <w:r w:rsidR="008A2680" w:rsidRPr="002541AA">
        <w:rPr>
          <w:rFonts w:cs="Arial"/>
          <w:sz w:val="22"/>
          <w:szCs w:val="22"/>
        </w:rPr>
        <w:t xml:space="preserve"> </w:t>
      </w:r>
      <w:r w:rsidRPr="002541AA">
        <w:rPr>
          <w:rFonts w:cs="Arial"/>
          <w:sz w:val="22"/>
          <w:szCs w:val="22"/>
        </w:rPr>
        <w:t xml:space="preserve">zusammengefasst. In den Jahren 2016 und 2017 </w:t>
      </w:r>
      <w:r w:rsidR="008A2680" w:rsidRPr="002541AA">
        <w:rPr>
          <w:rFonts w:cs="Arial"/>
          <w:sz w:val="22"/>
          <w:szCs w:val="22"/>
        </w:rPr>
        <w:t>sind</w:t>
      </w:r>
      <w:r w:rsidRPr="002541AA">
        <w:rPr>
          <w:rFonts w:cs="Arial"/>
          <w:sz w:val="22"/>
          <w:szCs w:val="22"/>
        </w:rPr>
        <w:t xml:space="preserve"> bereits ähnliche Berichte veröffentlicht worden.</w:t>
      </w:r>
    </w:p>
    <w:p w14:paraId="4D5E39DE" w14:textId="0B54F8D8" w:rsidR="00FE4848" w:rsidRPr="002541AA" w:rsidRDefault="00FE4848" w:rsidP="00BE136B">
      <w:pPr>
        <w:spacing w:line="276" w:lineRule="auto"/>
        <w:rPr>
          <w:rFonts w:cs="Arial"/>
          <w:sz w:val="22"/>
          <w:szCs w:val="22"/>
        </w:rPr>
      </w:pPr>
    </w:p>
    <w:p w14:paraId="55DB3CC0" w14:textId="566DE8A5" w:rsidR="00FE4848" w:rsidRPr="002541AA" w:rsidRDefault="00FD4C88" w:rsidP="00A92659">
      <w:pPr>
        <w:spacing w:line="360" w:lineRule="auto"/>
        <w:rPr>
          <w:rFonts w:cs="Arial"/>
          <w:sz w:val="22"/>
          <w:szCs w:val="22"/>
          <w:u w:val="single"/>
        </w:rPr>
      </w:pPr>
      <w:r w:rsidRPr="002541AA">
        <w:rPr>
          <w:rFonts w:cs="Arial"/>
          <w:sz w:val="22"/>
          <w:szCs w:val="22"/>
          <w:u w:val="single"/>
        </w:rPr>
        <w:t>Folie 23</w:t>
      </w:r>
      <w:r w:rsidR="00BE136B" w:rsidRPr="002541AA">
        <w:rPr>
          <w:rFonts w:cs="Arial"/>
          <w:sz w:val="22"/>
          <w:szCs w:val="22"/>
          <w:u w:val="single"/>
        </w:rPr>
        <w:t>: Ernährungsreport 2018: Ergebnisse</w:t>
      </w:r>
    </w:p>
    <w:p w14:paraId="668322D2" w14:textId="3DA8AEA5" w:rsidR="00730CFC" w:rsidRPr="002541AA" w:rsidRDefault="00745B69" w:rsidP="00BE136B">
      <w:pPr>
        <w:spacing w:line="276" w:lineRule="auto"/>
        <w:rPr>
          <w:rFonts w:cs="Arial"/>
          <w:sz w:val="22"/>
          <w:szCs w:val="22"/>
        </w:rPr>
      </w:pPr>
      <w:r w:rsidRPr="002541AA">
        <w:rPr>
          <w:rFonts w:cs="Arial"/>
          <w:sz w:val="22"/>
          <w:szCs w:val="22"/>
        </w:rPr>
        <w:t>Die Ergebnisse des</w:t>
      </w:r>
      <w:r w:rsidR="00730CFC" w:rsidRPr="002541AA">
        <w:rPr>
          <w:rFonts w:cs="Arial"/>
          <w:sz w:val="22"/>
          <w:szCs w:val="22"/>
        </w:rPr>
        <w:t xml:space="preserve"> Ernährungsreports zeigen:</w:t>
      </w:r>
    </w:p>
    <w:p w14:paraId="1A86B945" w14:textId="4DA38E15" w:rsidR="00745B69" w:rsidRPr="002541AA" w:rsidRDefault="00745B69" w:rsidP="00BE136B">
      <w:pPr>
        <w:pStyle w:val="Listenabsatz"/>
        <w:numPr>
          <w:ilvl w:val="0"/>
          <w:numId w:val="22"/>
        </w:numPr>
        <w:spacing w:line="276" w:lineRule="auto"/>
        <w:rPr>
          <w:rFonts w:cs="Arial"/>
          <w:sz w:val="22"/>
          <w:szCs w:val="22"/>
        </w:rPr>
      </w:pPr>
      <w:r w:rsidRPr="002541AA">
        <w:rPr>
          <w:rFonts w:cs="Arial"/>
          <w:sz w:val="22"/>
          <w:szCs w:val="22"/>
        </w:rPr>
        <w:t xml:space="preserve">Geschmack und Gesundheit </w:t>
      </w:r>
      <w:r w:rsidR="00730CFC" w:rsidRPr="002541AA">
        <w:rPr>
          <w:rFonts w:cs="Arial"/>
          <w:sz w:val="22"/>
          <w:szCs w:val="22"/>
        </w:rPr>
        <w:t xml:space="preserve">sind </w:t>
      </w:r>
      <w:r w:rsidRPr="002541AA">
        <w:rPr>
          <w:rFonts w:cs="Arial"/>
          <w:sz w:val="22"/>
          <w:szCs w:val="22"/>
        </w:rPr>
        <w:t>fast</w:t>
      </w:r>
      <w:r w:rsidR="00FE4848" w:rsidRPr="002541AA">
        <w:rPr>
          <w:rFonts w:cs="Arial"/>
          <w:sz w:val="22"/>
          <w:szCs w:val="22"/>
        </w:rPr>
        <w:t xml:space="preserve"> allen Befragten wichtig. Au</w:t>
      </w:r>
      <w:r w:rsidRPr="002541AA">
        <w:rPr>
          <w:rFonts w:cs="Arial"/>
          <w:sz w:val="22"/>
          <w:szCs w:val="22"/>
        </w:rPr>
        <w:t xml:space="preserve">f eine schnelle und einfache Zubereitung legt knapp die Hälfte </w:t>
      </w:r>
      <w:r w:rsidR="00FE4848" w:rsidRPr="002541AA">
        <w:rPr>
          <w:rFonts w:cs="Arial"/>
          <w:sz w:val="22"/>
          <w:szCs w:val="22"/>
        </w:rPr>
        <w:t xml:space="preserve">der Befragten </w:t>
      </w:r>
      <w:r w:rsidRPr="002541AA">
        <w:rPr>
          <w:rFonts w:cs="Arial"/>
          <w:sz w:val="22"/>
          <w:szCs w:val="22"/>
        </w:rPr>
        <w:t>wert. Dies gilt vor allem in Großstädten und spiegelt sich auch im Verhalten wider: 73 % der Befragten kochen gerne, 43 % sogar täglich.</w:t>
      </w:r>
    </w:p>
    <w:p w14:paraId="00F55DED" w14:textId="34C6124E" w:rsidR="002F2BEB" w:rsidRPr="002541AA" w:rsidRDefault="00745B69" w:rsidP="00BE136B">
      <w:pPr>
        <w:pStyle w:val="Listenabsatz"/>
        <w:numPr>
          <w:ilvl w:val="0"/>
          <w:numId w:val="22"/>
        </w:numPr>
        <w:spacing w:line="276" w:lineRule="auto"/>
        <w:rPr>
          <w:rFonts w:cs="Arial"/>
          <w:sz w:val="22"/>
          <w:szCs w:val="22"/>
        </w:rPr>
      </w:pPr>
      <w:r w:rsidRPr="002541AA">
        <w:rPr>
          <w:rFonts w:cs="Arial"/>
          <w:sz w:val="22"/>
          <w:szCs w:val="22"/>
        </w:rPr>
        <w:t>Frauen achten i.d.R. etwas mehr auf eine gesunde Ernährung als Männer, sie verzehren auch mehr Obst und Gemüse.</w:t>
      </w:r>
    </w:p>
    <w:p w14:paraId="3D7E3B46" w14:textId="352A23C4" w:rsidR="00745B69" w:rsidRPr="002541AA" w:rsidRDefault="00745B69" w:rsidP="00BE136B">
      <w:pPr>
        <w:pStyle w:val="Listenabsatz"/>
        <w:numPr>
          <w:ilvl w:val="0"/>
          <w:numId w:val="22"/>
        </w:numPr>
        <w:spacing w:line="276" w:lineRule="auto"/>
        <w:rPr>
          <w:rFonts w:cs="Arial"/>
          <w:sz w:val="22"/>
          <w:szCs w:val="22"/>
        </w:rPr>
      </w:pPr>
      <w:r w:rsidRPr="002541AA">
        <w:rPr>
          <w:rFonts w:cs="Arial"/>
          <w:sz w:val="22"/>
          <w:szCs w:val="22"/>
        </w:rPr>
        <w:t>Die Trinkempfehlungen werden</w:t>
      </w:r>
      <w:r w:rsidR="002F2BEB" w:rsidRPr="002541AA">
        <w:rPr>
          <w:rFonts w:cs="Arial"/>
          <w:sz w:val="22"/>
          <w:szCs w:val="22"/>
        </w:rPr>
        <w:t xml:space="preserve"> </w:t>
      </w:r>
      <w:r w:rsidR="008A2680" w:rsidRPr="002541AA">
        <w:rPr>
          <w:rFonts w:cs="Arial"/>
          <w:sz w:val="22"/>
          <w:szCs w:val="22"/>
        </w:rPr>
        <w:t xml:space="preserve">bei den meisten der Befragten </w:t>
      </w:r>
      <w:r w:rsidRPr="002541AA">
        <w:rPr>
          <w:rFonts w:cs="Arial"/>
          <w:sz w:val="22"/>
          <w:szCs w:val="22"/>
        </w:rPr>
        <w:t>erreicht. Wasser ist das beliebteste Getränk der Deutschen, unabhängig vom Geschlecht.</w:t>
      </w:r>
    </w:p>
    <w:p w14:paraId="3CBA63CA" w14:textId="2BA9D0C2" w:rsidR="00730CFC" w:rsidRPr="002541AA" w:rsidRDefault="00745B69" w:rsidP="00BE136B">
      <w:pPr>
        <w:pStyle w:val="Listenabsatz"/>
        <w:numPr>
          <w:ilvl w:val="0"/>
          <w:numId w:val="22"/>
        </w:numPr>
        <w:spacing w:line="276" w:lineRule="auto"/>
        <w:rPr>
          <w:rFonts w:cs="Arial"/>
          <w:sz w:val="22"/>
          <w:szCs w:val="22"/>
        </w:rPr>
      </w:pPr>
      <w:r w:rsidRPr="002541AA">
        <w:rPr>
          <w:rFonts w:cs="Arial"/>
          <w:sz w:val="22"/>
          <w:szCs w:val="22"/>
        </w:rPr>
        <w:t xml:space="preserve">Das Bewusstsein für </w:t>
      </w:r>
      <w:r w:rsidR="008A2680" w:rsidRPr="002541AA">
        <w:rPr>
          <w:rFonts w:cs="Arial"/>
          <w:sz w:val="22"/>
          <w:szCs w:val="22"/>
        </w:rPr>
        <w:t xml:space="preserve">die Qualität der Lebensmittel, das </w:t>
      </w:r>
      <w:proofErr w:type="spellStart"/>
      <w:r w:rsidRPr="002541AA">
        <w:rPr>
          <w:rFonts w:cs="Arial"/>
          <w:sz w:val="22"/>
          <w:szCs w:val="22"/>
        </w:rPr>
        <w:t>Tierwohl</w:t>
      </w:r>
      <w:proofErr w:type="spellEnd"/>
      <w:r w:rsidR="008A2680" w:rsidRPr="002541AA">
        <w:rPr>
          <w:rFonts w:cs="Arial"/>
          <w:sz w:val="22"/>
          <w:szCs w:val="22"/>
        </w:rPr>
        <w:t xml:space="preserve"> und die </w:t>
      </w:r>
      <w:r w:rsidRPr="002541AA">
        <w:rPr>
          <w:rFonts w:cs="Arial"/>
          <w:sz w:val="22"/>
          <w:szCs w:val="22"/>
        </w:rPr>
        <w:t>Umwelt steigt: so wären beispielsweise 47 % der Befragten bereit, höhere Preise für Lebensmittel von Tieren aus artgerechter Haltung zu bezahlen.</w:t>
      </w:r>
    </w:p>
    <w:p w14:paraId="0298695F" w14:textId="604379FC" w:rsidR="00745B69" w:rsidRPr="002541AA" w:rsidRDefault="00745B69" w:rsidP="00BE136B">
      <w:pPr>
        <w:pStyle w:val="Listenabsatz"/>
        <w:numPr>
          <w:ilvl w:val="0"/>
          <w:numId w:val="22"/>
        </w:numPr>
        <w:spacing w:line="276" w:lineRule="auto"/>
        <w:rPr>
          <w:rFonts w:cs="Arial"/>
          <w:sz w:val="22"/>
          <w:szCs w:val="22"/>
        </w:rPr>
      </w:pPr>
      <w:r w:rsidRPr="002541AA">
        <w:rPr>
          <w:rFonts w:cs="Arial"/>
          <w:sz w:val="22"/>
          <w:szCs w:val="22"/>
        </w:rPr>
        <w:t xml:space="preserve">In der Umfrage wurden Daten zum Essverhalten am Arbeitsplatz ermittelt. </w:t>
      </w:r>
      <w:r w:rsidR="00FE4848" w:rsidRPr="002541AA">
        <w:rPr>
          <w:rFonts w:cs="Arial"/>
          <w:sz w:val="22"/>
          <w:szCs w:val="22"/>
        </w:rPr>
        <w:t>M</w:t>
      </w:r>
      <w:r w:rsidRPr="002541AA">
        <w:rPr>
          <w:rFonts w:cs="Arial"/>
          <w:sz w:val="22"/>
          <w:szCs w:val="22"/>
        </w:rPr>
        <w:t xml:space="preserve">ehr als die Hälfte der befragten Berufstätigen </w:t>
      </w:r>
      <w:r w:rsidR="00FE4848" w:rsidRPr="002541AA">
        <w:rPr>
          <w:rFonts w:cs="Arial"/>
          <w:sz w:val="22"/>
          <w:szCs w:val="22"/>
        </w:rPr>
        <w:t xml:space="preserve">gibt an, das </w:t>
      </w:r>
      <w:r w:rsidRPr="002541AA">
        <w:rPr>
          <w:rFonts w:cs="Arial"/>
          <w:sz w:val="22"/>
          <w:szCs w:val="22"/>
        </w:rPr>
        <w:t xml:space="preserve">Essen </w:t>
      </w:r>
      <w:r w:rsidR="00FE4848" w:rsidRPr="002541AA">
        <w:rPr>
          <w:rFonts w:cs="Arial"/>
          <w:sz w:val="22"/>
          <w:szCs w:val="22"/>
        </w:rPr>
        <w:t xml:space="preserve">für die Mittagspause am Arbeitsplatz </w:t>
      </w:r>
      <w:r w:rsidRPr="002541AA">
        <w:rPr>
          <w:rFonts w:cs="Arial"/>
          <w:sz w:val="22"/>
          <w:szCs w:val="22"/>
        </w:rPr>
        <w:t>selbst mit</w:t>
      </w:r>
      <w:r w:rsidR="00FE4848" w:rsidRPr="002541AA">
        <w:rPr>
          <w:rFonts w:cs="Arial"/>
          <w:sz w:val="22"/>
          <w:szCs w:val="22"/>
        </w:rPr>
        <w:t xml:space="preserve">zubringen. </w:t>
      </w:r>
      <w:r w:rsidRPr="002541AA">
        <w:rPr>
          <w:rFonts w:cs="Arial"/>
          <w:sz w:val="22"/>
          <w:szCs w:val="22"/>
        </w:rPr>
        <w:t xml:space="preserve">19 % gehen lieber in die Kantine, 13 % </w:t>
      </w:r>
      <w:r w:rsidR="008A2680" w:rsidRPr="002541AA">
        <w:rPr>
          <w:rFonts w:cs="Arial"/>
          <w:sz w:val="22"/>
          <w:szCs w:val="22"/>
        </w:rPr>
        <w:t xml:space="preserve">kaufen sich </w:t>
      </w:r>
      <w:r w:rsidRPr="002541AA">
        <w:rPr>
          <w:rFonts w:cs="Arial"/>
          <w:sz w:val="22"/>
          <w:szCs w:val="22"/>
        </w:rPr>
        <w:t xml:space="preserve">etwas vom Bäcker oder Imbiss und nur 4 % gehen zum Mittagstisch ins Restaurant. </w:t>
      </w:r>
      <w:r w:rsidR="008A2680" w:rsidRPr="002541AA">
        <w:rPr>
          <w:rFonts w:cs="Arial"/>
          <w:sz w:val="22"/>
          <w:szCs w:val="22"/>
        </w:rPr>
        <w:t xml:space="preserve">Diese </w:t>
      </w:r>
      <w:r w:rsidR="00FE4848" w:rsidRPr="002541AA">
        <w:rPr>
          <w:rFonts w:cs="Arial"/>
          <w:sz w:val="22"/>
          <w:szCs w:val="22"/>
        </w:rPr>
        <w:t xml:space="preserve">Ergebnisse </w:t>
      </w:r>
      <w:r w:rsidR="008A2680" w:rsidRPr="002541AA">
        <w:rPr>
          <w:rFonts w:cs="Arial"/>
          <w:sz w:val="22"/>
          <w:szCs w:val="22"/>
        </w:rPr>
        <w:t>sind mit den Ergebnissen d</w:t>
      </w:r>
      <w:r w:rsidR="00FE4848" w:rsidRPr="002541AA">
        <w:rPr>
          <w:rFonts w:cs="Arial"/>
          <w:sz w:val="22"/>
          <w:szCs w:val="22"/>
        </w:rPr>
        <w:t>es Ernährungsreports aus dem Jahre 2017</w:t>
      </w:r>
      <w:r w:rsidRPr="002541AA">
        <w:rPr>
          <w:rFonts w:cs="Arial"/>
          <w:sz w:val="22"/>
          <w:szCs w:val="22"/>
        </w:rPr>
        <w:t xml:space="preserve"> </w:t>
      </w:r>
      <w:r w:rsidR="008A2680" w:rsidRPr="002541AA">
        <w:rPr>
          <w:rFonts w:cs="Arial"/>
          <w:sz w:val="22"/>
          <w:szCs w:val="22"/>
        </w:rPr>
        <w:t>vergleichbar</w:t>
      </w:r>
      <w:r w:rsidRPr="002541AA">
        <w:rPr>
          <w:rFonts w:cs="Arial"/>
          <w:sz w:val="22"/>
          <w:szCs w:val="22"/>
        </w:rPr>
        <w:t>.</w:t>
      </w:r>
    </w:p>
    <w:p w14:paraId="518287D0" w14:textId="77777777" w:rsidR="00BB7EC6" w:rsidRPr="002541AA" w:rsidRDefault="00BB7EC6" w:rsidP="00BE136B">
      <w:pPr>
        <w:spacing w:line="276" w:lineRule="auto"/>
        <w:rPr>
          <w:rFonts w:cs="Arial"/>
          <w:sz w:val="22"/>
          <w:szCs w:val="22"/>
        </w:rPr>
      </w:pPr>
    </w:p>
    <w:p w14:paraId="12C191BD" w14:textId="5182F362" w:rsidR="001B1C36" w:rsidRPr="002541AA" w:rsidRDefault="00FD4C88" w:rsidP="00A92659">
      <w:pPr>
        <w:spacing w:line="360" w:lineRule="auto"/>
        <w:rPr>
          <w:rFonts w:cs="Arial"/>
          <w:sz w:val="22"/>
          <w:szCs w:val="22"/>
          <w:u w:val="single"/>
        </w:rPr>
      </w:pPr>
      <w:r w:rsidRPr="002541AA">
        <w:rPr>
          <w:rFonts w:cs="Arial"/>
          <w:sz w:val="22"/>
          <w:szCs w:val="22"/>
          <w:u w:val="single"/>
        </w:rPr>
        <w:t>Folie 24</w:t>
      </w:r>
      <w:r w:rsidR="00BE136B" w:rsidRPr="002541AA">
        <w:rPr>
          <w:rFonts w:cs="Arial"/>
          <w:sz w:val="22"/>
          <w:szCs w:val="22"/>
          <w:u w:val="single"/>
        </w:rPr>
        <w:t>: Links</w:t>
      </w:r>
    </w:p>
    <w:p w14:paraId="24B71C18" w14:textId="71F0080B" w:rsidR="00FE4848" w:rsidRDefault="00FE4848" w:rsidP="00BE136B">
      <w:pPr>
        <w:spacing w:line="276" w:lineRule="auto"/>
        <w:rPr>
          <w:rFonts w:cs="Arial"/>
          <w:sz w:val="22"/>
          <w:szCs w:val="22"/>
        </w:rPr>
      </w:pPr>
      <w:r w:rsidRPr="002541AA">
        <w:rPr>
          <w:rFonts w:cs="Arial"/>
          <w:sz w:val="22"/>
          <w:szCs w:val="22"/>
        </w:rPr>
        <w:t xml:space="preserve">Die Ernährungsreporte des Bundesministeriums für Ernährung und Landwirtschaft aus den Jahren 2016, 2017 und 2018 stehen als </w:t>
      </w:r>
      <w:r w:rsidR="00667C8E" w:rsidRPr="002541AA">
        <w:rPr>
          <w:rFonts w:cs="Arial"/>
          <w:sz w:val="22"/>
          <w:szCs w:val="22"/>
        </w:rPr>
        <w:t>PDF</w:t>
      </w:r>
      <w:r w:rsidR="00BB7EC6" w:rsidRPr="002541AA">
        <w:rPr>
          <w:rFonts w:cs="Arial"/>
          <w:sz w:val="22"/>
          <w:szCs w:val="22"/>
        </w:rPr>
        <w:t>-Datei</w:t>
      </w:r>
      <w:r w:rsidR="00263AF9" w:rsidRPr="002541AA">
        <w:rPr>
          <w:rFonts w:cs="Arial"/>
          <w:sz w:val="22"/>
          <w:szCs w:val="22"/>
        </w:rPr>
        <w:t>en</w:t>
      </w:r>
      <w:r w:rsidR="00BB7EC6" w:rsidRPr="002541AA">
        <w:rPr>
          <w:rFonts w:cs="Arial"/>
          <w:sz w:val="22"/>
          <w:szCs w:val="22"/>
        </w:rPr>
        <w:t xml:space="preserve"> zum </w:t>
      </w:r>
      <w:r w:rsidRPr="002541AA">
        <w:rPr>
          <w:rFonts w:cs="Arial"/>
          <w:sz w:val="22"/>
          <w:szCs w:val="22"/>
        </w:rPr>
        <w:t>kost</w:t>
      </w:r>
      <w:r w:rsidR="00BB7EC6" w:rsidRPr="002541AA">
        <w:rPr>
          <w:rFonts w:cs="Arial"/>
          <w:sz w:val="22"/>
          <w:szCs w:val="22"/>
        </w:rPr>
        <w:t>enlosen</w:t>
      </w:r>
      <w:r w:rsidRPr="002541AA">
        <w:rPr>
          <w:rFonts w:cs="Arial"/>
          <w:sz w:val="22"/>
          <w:szCs w:val="22"/>
        </w:rPr>
        <w:t xml:space="preserve"> Download zur Verfügung. </w:t>
      </w:r>
    </w:p>
    <w:p w14:paraId="42C190E9" w14:textId="77777777" w:rsidR="00A92659" w:rsidRDefault="00A92659" w:rsidP="008E2E50">
      <w:pPr>
        <w:rPr>
          <w:rFonts w:cs="Arial"/>
          <w:sz w:val="22"/>
          <w:szCs w:val="22"/>
        </w:rPr>
      </w:pPr>
    </w:p>
    <w:p w14:paraId="13806171" w14:textId="77777777" w:rsidR="00B37A1D" w:rsidRDefault="00B37A1D" w:rsidP="008E2E50">
      <w:pPr>
        <w:rPr>
          <w:rFonts w:cs="Arial"/>
          <w:sz w:val="22"/>
          <w:szCs w:val="22"/>
        </w:rPr>
      </w:pPr>
    </w:p>
    <w:p w14:paraId="0689B0A1" w14:textId="77777777" w:rsidR="00EA4B21" w:rsidRDefault="00EA4B21" w:rsidP="008E2E50">
      <w:pPr>
        <w:rPr>
          <w:rFonts w:cs="Arial"/>
          <w:sz w:val="22"/>
          <w:szCs w:val="22"/>
        </w:rPr>
      </w:pPr>
      <w:bookmarkStart w:id="0" w:name="_GoBack"/>
      <w:bookmarkEnd w:id="0"/>
    </w:p>
    <w:p w14:paraId="159295AF" w14:textId="77777777" w:rsidR="008E2E50" w:rsidRDefault="008E2E50" w:rsidP="008E2E50">
      <w:pPr>
        <w:rPr>
          <w:rFonts w:cs="Arial"/>
          <w:sz w:val="22"/>
          <w:szCs w:val="22"/>
        </w:rPr>
      </w:pPr>
    </w:p>
    <w:p w14:paraId="296EAA93" w14:textId="77777777" w:rsidR="008E2E50" w:rsidRDefault="008E2E50" w:rsidP="008E2E50">
      <w:pPr>
        <w:rPr>
          <w:rFonts w:cs="Arial"/>
          <w:sz w:val="22"/>
          <w:szCs w:val="22"/>
        </w:rPr>
      </w:pPr>
    </w:p>
    <w:p w14:paraId="631326B0" w14:textId="77777777" w:rsidR="00675990" w:rsidRPr="002541AA" w:rsidRDefault="00675990" w:rsidP="008E2E50">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1"/>
      </w:tblGrid>
      <w:tr w:rsidR="00EA4B21" w:rsidRPr="009C0B33" w14:paraId="430A0385" w14:textId="77777777" w:rsidTr="00A947C5">
        <w:trPr>
          <w:trHeight w:val="1536"/>
          <w:jc w:val="center"/>
        </w:trPr>
        <w:tc>
          <w:tcPr>
            <w:tcW w:w="8081" w:type="dxa"/>
            <w:vAlign w:val="center"/>
          </w:tcPr>
          <w:p w14:paraId="3E1FD77A" w14:textId="77777777" w:rsidR="00EA4B21" w:rsidRPr="009C0B33" w:rsidRDefault="00EA4B21" w:rsidP="00A947C5">
            <w:pPr>
              <w:spacing w:line="360" w:lineRule="auto"/>
              <w:jc w:val="center"/>
              <w:rPr>
                <w:sz w:val="22"/>
                <w:szCs w:val="22"/>
              </w:rPr>
            </w:pPr>
            <w:r w:rsidRPr="009C0B33">
              <w:rPr>
                <w:noProof/>
                <w:sz w:val="22"/>
                <w:szCs w:val="22"/>
              </w:rPr>
              <w:drawing>
                <wp:inline distT="0" distB="0" distL="0" distR="0" wp14:anchorId="7235D975" wp14:editId="16E45D09">
                  <wp:extent cx="1080135" cy="377913"/>
                  <wp:effectExtent l="0" t="0" r="12065" b="3175"/>
                  <wp:docPr id="1"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a:off x="0" y="0"/>
                            <a:ext cx="1104735" cy="386520"/>
                          </a:xfrm>
                          <a:prstGeom prst="rect">
                            <a:avLst/>
                          </a:prstGeom>
                          <a:noFill/>
                          <a:ln>
                            <a:noFill/>
                          </a:ln>
                        </pic:spPr>
                      </pic:pic>
                    </a:graphicData>
                  </a:graphic>
                </wp:inline>
              </w:drawing>
            </w:r>
          </w:p>
          <w:p w14:paraId="669A2854" w14:textId="77777777" w:rsidR="00EA4B21" w:rsidRPr="009C0B33" w:rsidRDefault="00EA4B21" w:rsidP="00A947C5">
            <w:pPr>
              <w:jc w:val="center"/>
              <w:rPr>
                <w:sz w:val="20"/>
                <w:szCs w:val="22"/>
              </w:rPr>
            </w:pPr>
            <w:r w:rsidRPr="009C0B33">
              <w:rPr>
                <w:sz w:val="20"/>
                <w:szCs w:val="22"/>
              </w:rPr>
              <w:t xml:space="preserve">„Gesund genießen am Arbeitsplatz“ von Prof. Dr. Anne Flothow ist lizenziert unter einer </w:t>
            </w:r>
            <w:hyperlink r:id="rId9" w:history="1">
              <w:r w:rsidRPr="009C0B33">
                <w:rPr>
                  <w:color w:val="0563C1" w:themeColor="hyperlink"/>
                  <w:sz w:val="20"/>
                  <w:szCs w:val="22"/>
                  <w:u w:val="single"/>
                </w:rPr>
                <w:t xml:space="preserve">Creative </w:t>
              </w:r>
              <w:proofErr w:type="spellStart"/>
              <w:r w:rsidRPr="009C0B33">
                <w:rPr>
                  <w:color w:val="0563C1" w:themeColor="hyperlink"/>
                  <w:sz w:val="20"/>
                  <w:szCs w:val="22"/>
                  <w:u w:val="single"/>
                </w:rPr>
                <w:t>Commons</w:t>
              </w:r>
              <w:proofErr w:type="spellEnd"/>
              <w:r w:rsidRPr="009C0B33">
                <w:rPr>
                  <w:color w:val="0563C1" w:themeColor="hyperlink"/>
                  <w:sz w:val="20"/>
                  <w:szCs w:val="22"/>
                  <w:u w:val="single"/>
                </w:rPr>
                <w:t xml:space="preserve"> Namensnennung - Weitergabe unter gleichen Bedingungen 4.0 International Lizenz</w:t>
              </w:r>
            </w:hyperlink>
            <w:r w:rsidRPr="009C0B33">
              <w:rPr>
                <w:sz w:val="20"/>
                <w:szCs w:val="22"/>
              </w:rPr>
              <w:t>.</w:t>
            </w:r>
          </w:p>
        </w:tc>
      </w:tr>
    </w:tbl>
    <w:p w14:paraId="766595C3" w14:textId="7AE7C7B6" w:rsidR="00FE4848" w:rsidRPr="002541AA" w:rsidRDefault="00FE4848" w:rsidP="008E2E50">
      <w:pPr>
        <w:rPr>
          <w:rFonts w:cs="Arial"/>
          <w:sz w:val="22"/>
          <w:szCs w:val="22"/>
        </w:rPr>
      </w:pPr>
    </w:p>
    <w:sectPr w:rsidR="00FE4848" w:rsidRPr="002541AA" w:rsidSect="00A5346C">
      <w:headerReference w:type="default" r:id="rId10"/>
      <w:footerReference w:type="even" r:id="rId11"/>
      <w:footerReference w:type="defaul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020A0" w14:textId="77777777" w:rsidR="00767102" w:rsidRDefault="00767102" w:rsidP="000229B5">
      <w:r>
        <w:separator/>
      </w:r>
    </w:p>
  </w:endnote>
  <w:endnote w:type="continuationSeparator" w:id="0">
    <w:p w14:paraId="41EF8DEB" w14:textId="77777777" w:rsidR="00767102" w:rsidRDefault="00767102" w:rsidP="0002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56B1" w14:textId="77777777" w:rsidR="000229B5" w:rsidRDefault="000229B5" w:rsidP="00682F4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A3581F5" w14:textId="77777777" w:rsidR="000229B5" w:rsidRDefault="000229B5">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522A" w14:textId="1177B14A" w:rsidR="000229B5" w:rsidRDefault="000229B5" w:rsidP="00682F4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A4B21">
      <w:rPr>
        <w:rStyle w:val="Seitenzahl"/>
        <w:noProof/>
      </w:rPr>
      <w:t>5</w:t>
    </w:r>
    <w:r>
      <w:rPr>
        <w:rStyle w:val="Seitenzahl"/>
      </w:rPr>
      <w:fldChar w:fldCharType="end"/>
    </w:r>
  </w:p>
  <w:p w14:paraId="18AC7341" w14:textId="77777777" w:rsidR="000229B5" w:rsidRDefault="000229B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C97F6" w14:textId="77777777" w:rsidR="00767102" w:rsidRDefault="00767102" w:rsidP="000229B5">
      <w:r>
        <w:separator/>
      </w:r>
    </w:p>
  </w:footnote>
  <w:footnote w:type="continuationSeparator" w:id="0">
    <w:p w14:paraId="19326012" w14:textId="77777777" w:rsidR="00767102" w:rsidRDefault="00767102" w:rsidP="00022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4C38" w14:textId="77777777" w:rsidR="00EA4B21" w:rsidRDefault="00EA4B21" w:rsidP="00EA4B21">
    <w:pPr>
      <w:pStyle w:val="Kopfzeile"/>
    </w:pPr>
    <w:r>
      <w:t>Gesund genießen am Arbeitsplatz</w:t>
    </w:r>
    <w:r>
      <w:rPr>
        <w:noProof/>
        <w:lang w:eastAsia="de-DE"/>
      </w:rPr>
      <w:t xml:space="preserve"> </w:t>
    </w:r>
    <w:r>
      <w:rPr>
        <w:noProof/>
        <w:lang w:eastAsia="de-DE"/>
      </w:rPr>
      <w:drawing>
        <wp:anchor distT="0" distB="0" distL="114300" distR="114300" simplePos="0" relativeHeight="251659264" behindDoc="0" locked="0" layoutInCell="1" allowOverlap="1" wp14:anchorId="1004EE23" wp14:editId="28306259">
          <wp:simplePos x="0" y="0"/>
          <wp:positionH relativeFrom="column">
            <wp:posOffset>4295140</wp:posOffset>
          </wp:positionH>
          <wp:positionV relativeFrom="paragraph">
            <wp:posOffset>-104140</wp:posOffset>
          </wp:positionV>
          <wp:extent cx="1029335" cy="378460"/>
          <wp:effectExtent l="0" t="0" r="12065" b="2540"/>
          <wp:wrapThrough wrapText="bothSides">
            <wp:wrapPolygon edited="0">
              <wp:start x="0" y="0"/>
              <wp:lineTo x="0" y="20295"/>
              <wp:lineTo x="21320" y="20295"/>
              <wp:lineTo x="2132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_Marke_RGB-72dpi.png"/>
                  <pic:cNvPicPr/>
                </pic:nvPicPr>
                <pic:blipFill>
                  <a:blip r:embed="rId1">
                    <a:extLst>
                      <a:ext uri="{28A0092B-C50C-407E-A947-70E740481C1C}">
                        <a14:useLocalDpi xmlns:a14="http://schemas.microsoft.com/office/drawing/2010/main" val="0"/>
                      </a:ext>
                    </a:extLst>
                  </a:blip>
                  <a:stretch>
                    <a:fillRect/>
                  </a:stretch>
                </pic:blipFill>
                <pic:spPr>
                  <a:xfrm>
                    <a:off x="0" y="0"/>
                    <a:ext cx="1029335" cy="3784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6339BB8F" wp14:editId="38DD44E0">
          <wp:simplePos x="0" y="0"/>
          <wp:positionH relativeFrom="column">
            <wp:posOffset>5437505</wp:posOffset>
          </wp:positionH>
          <wp:positionV relativeFrom="paragraph">
            <wp:posOffset>-220980</wp:posOffset>
          </wp:positionV>
          <wp:extent cx="686435" cy="686435"/>
          <wp:effectExtent l="0" t="0" r="0" b="0"/>
          <wp:wrapThrough wrapText="bothSides">
            <wp:wrapPolygon edited="0">
              <wp:start x="0" y="0"/>
              <wp:lineTo x="0" y="16784"/>
              <wp:lineTo x="5595" y="20781"/>
              <wp:lineTo x="15186" y="20781"/>
              <wp:lineTo x="20781" y="16784"/>
              <wp:lineTo x="20781"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U_Logo_lang_kreis.png"/>
                  <pic:cNvPicPr/>
                </pic:nvPicPr>
                <pic:blipFill>
                  <a:blip r:embed="rId2">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page">
            <wp14:pctWidth>0</wp14:pctWidth>
          </wp14:sizeRelH>
          <wp14:sizeRelV relativeFrom="page">
            <wp14:pctHeight>0</wp14:pctHeight>
          </wp14:sizeRelV>
        </wp:anchor>
      </w:drawing>
    </w:r>
  </w:p>
  <w:p w14:paraId="6A43D4B6" w14:textId="77777777" w:rsidR="00EA4B21" w:rsidRDefault="00EA4B21" w:rsidP="00EA4B21">
    <w:pPr>
      <w:pStyle w:val="Kopfzeile"/>
    </w:pPr>
    <w:r>
      <w:t>Prof. Dr. Anne Flothow</w:t>
    </w:r>
  </w:p>
  <w:p w14:paraId="47443830" w14:textId="77777777" w:rsidR="00EA4B21" w:rsidRDefault="00EA4B21" w:rsidP="00EA4B21">
    <w:pPr>
      <w:pStyle w:val="Kopfzeile"/>
    </w:pPr>
    <w:r>
      <w:t xml:space="preserve">2. Wie essen Menschen? – Studien zum Essverhalten </w:t>
    </w:r>
  </w:p>
  <w:p w14:paraId="1F2C5CC3" w14:textId="77777777" w:rsidR="00EA4B21" w:rsidRDefault="00EA4B21" w:rsidP="00EA4B21">
    <w:pPr>
      <w:pStyle w:val="Kopfzeile"/>
      <w:pBdr>
        <w:bottom w:val="single" w:sz="4" w:space="1" w:color="auto"/>
      </w:pBdr>
    </w:pPr>
  </w:p>
  <w:p w14:paraId="72EAC79B" w14:textId="77777777" w:rsidR="00BE136B" w:rsidRPr="00EA4B21" w:rsidRDefault="00BE136B" w:rsidP="00EA4B2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D19"/>
    <w:multiLevelType w:val="hybridMultilevel"/>
    <w:tmpl w:val="AC8C23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7F2489"/>
    <w:multiLevelType w:val="hybridMultilevel"/>
    <w:tmpl w:val="9170E1FC"/>
    <w:lvl w:ilvl="0" w:tplc="04070001">
      <w:start w:val="1"/>
      <w:numFmt w:val="bullet"/>
      <w:lvlText w:val=""/>
      <w:lvlJc w:val="left"/>
      <w:pPr>
        <w:ind w:left="360" w:hanging="360"/>
      </w:pPr>
      <w:rPr>
        <w:rFonts w:ascii="Symbol" w:hAnsi="Symbol" w:hint="default"/>
      </w:rPr>
    </w:lvl>
    <w:lvl w:ilvl="1" w:tplc="19260A5A" w:tentative="1">
      <w:start w:val="1"/>
      <w:numFmt w:val="bullet"/>
      <w:lvlText w:val="-"/>
      <w:lvlJc w:val="left"/>
      <w:pPr>
        <w:tabs>
          <w:tab w:val="num" w:pos="1080"/>
        </w:tabs>
        <w:ind w:left="1080" w:hanging="360"/>
      </w:pPr>
      <w:rPr>
        <w:rFonts w:ascii="Times New Roman" w:hAnsi="Times New Roman" w:hint="default"/>
      </w:rPr>
    </w:lvl>
    <w:lvl w:ilvl="2" w:tplc="633EA5A4" w:tentative="1">
      <w:start w:val="1"/>
      <w:numFmt w:val="bullet"/>
      <w:lvlText w:val="-"/>
      <w:lvlJc w:val="left"/>
      <w:pPr>
        <w:tabs>
          <w:tab w:val="num" w:pos="1800"/>
        </w:tabs>
        <w:ind w:left="1800" w:hanging="360"/>
      </w:pPr>
      <w:rPr>
        <w:rFonts w:ascii="Times New Roman" w:hAnsi="Times New Roman" w:hint="default"/>
      </w:rPr>
    </w:lvl>
    <w:lvl w:ilvl="3" w:tplc="34749044" w:tentative="1">
      <w:start w:val="1"/>
      <w:numFmt w:val="bullet"/>
      <w:lvlText w:val="-"/>
      <w:lvlJc w:val="left"/>
      <w:pPr>
        <w:tabs>
          <w:tab w:val="num" w:pos="2520"/>
        </w:tabs>
        <w:ind w:left="2520" w:hanging="360"/>
      </w:pPr>
      <w:rPr>
        <w:rFonts w:ascii="Times New Roman" w:hAnsi="Times New Roman" w:hint="default"/>
      </w:rPr>
    </w:lvl>
    <w:lvl w:ilvl="4" w:tplc="12BC3E64" w:tentative="1">
      <w:start w:val="1"/>
      <w:numFmt w:val="bullet"/>
      <w:lvlText w:val="-"/>
      <w:lvlJc w:val="left"/>
      <w:pPr>
        <w:tabs>
          <w:tab w:val="num" w:pos="3240"/>
        </w:tabs>
        <w:ind w:left="3240" w:hanging="360"/>
      </w:pPr>
      <w:rPr>
        <w:rFonts w:ascii="Times New Roman" w:hAnsi="Times New Roman" w:hint="default"/>
      </w:rPr>
    </w:lvl>
    <w:lvl w:ilvl="5" w:tplc="FA205EE4" w:tentative="1">
      <w:start w:val="1"/>
      <w:numFmt w:val="bullet"/>
      <w:lvlText w:val="-"/>
      <w:lvlJc w:val="left"/>
      <w:pPr>
        <w:tabs>
          <w:tab w:val="num" w:pos="3960"/>
        </w:tabs>
        <w:ind w:left="3960" w:hanging="360"/>
      </w:pPr>
      <w:rPr>
        <w:rFonts w:ascii="Times New Roman" w:hAnsi="Times New Roman" w:hint="default"/>
      </w:rPr>
    </w:lvl>
    <w:lvl w:ilvl="6" w:tplc="E3F49358" w:tentative="1">
      <w:start w:val="1"/>
      <w:numFmt w:val="bullet"/>
      <w:lvlText w:val="-"/>
      <w:lvlJc w:val="left"/>
      <w:pPr>
        <w:tabs>
          <w:tab w:val="num" w:pos="4680"/>
        </w:tabs>
        <w:ind w:left="4680" w:hanging="360"/>
      </w:pPr>
      <w:rPr>
        <w:rFonts w:ascii="Times New Roman" w:hAnsi="Times New Roman" w:hint="default"/>
      </w:rPr>
    </w:lvl>
    <w:lvl w:ilvl="7" w:tplc="40FA4520" w:tentative="1">
      <w:start w:val="1"/>
      <w:numFmt w:val="bullet"/>
      <w:lvlText w:val="-"/>
      <w:lvlJc w:val="left"/>
      <w:pPr>
        <w:tabs>
          <w:tab w:val="num" w:pos="5400"/>
        </w:tabs>
        <w:ind w:left="5400" w:hanging="360"/>
      </w:pPr>
      <w:rPr>
        <w:rFonts w:ascii="Times New Roman" w:hAnsi="Times New Roman" w:hint="default"/>
      </w:rPr>
    </w:lvl>
    <w:lvl w:ilvl="8" w:tplc="4D32CEAA" w:tentative="1">
      <w:start w:val="1"/>
      <w:numFmt w:val="bullet"/>
      <w:lvlText w:val="-"/>
      <w:lvlJc w:val="left"/>
      <w:pPr>
        <w:tabs>
          <w:tab w:val="num" w:pos="6120"/>
        </w:tabs>
        <w:ind w:left="6120" w:hanging="360"/>
      </w:pPr>
      <w:rPr>
        <w:rFonts w:ascii="Times New Roman" w:hAnsi="Times New Roman" w:hint="default"/>
      </w:rPr>
    </w:lvl>
  </w:abstractNum>
  <w:abstractNum w:abstractNumId="2">
    <w:nsid w:val="04B23E2D"/>
    <w:multiLevelType w:val="hybridMultilevel"/>
    <w:tmpl w:val="2F005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8E77C5"/>
    <w:multiLevelType w:val="hybridMultilevel"/>
    <w:tmpl w:val="92B23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8C1131"/>
    <w:multiLevelType w:val="hybridMultilevel"/>
    <w:tmpl w:val="C758370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F55AD4"/>
    <w:multiLevelType w:val="hybridMultilevel"/>
    <w:tmpl w:val="6A7CA08E"/>
    <w:lvl w:ilvl="0" w:tplc="04070001">
      <w:start w:val="1"/>
      <w:numFmt w:val="bullet"/>
      <w:lvlText w:val=""/>
      <w:lvlJc w:val="left"/>
      <w:pPr>
        <w:ind w:left="360" w:hanging="360"/>
      </w:pPr>
      <w:rPr>
        <w:rFonts w:ascii="Symbol" w:hAnsi="Symbol" w:hint="default"/>
      </w:rPr>
    </w:lvl>
    <w:lvl w:ilvl="1" w:tplc="24F65F54" w:tentative="1">
      <w:start w:val="1"/>
      <w:numFmt w:val="bullet"/>
      <w:lvlText w:val="-"/>
      <w:lvlJc w:val="left"/>
      <w:pPr>
        <w:tabs>
          <w:tab w:val="num" w:pos="1080"/>
        </w:tabs>
        <w:ind w:left="1080" w:hanging="360"/>
      </w:pPr>
      <w:rPr>
        <w:rFonts w:ascii="Times New Roman" w:hAnsi="Times New Roman" w:hint="default"/>
      </w:rPr>
    </w:lvl>
    <w:lvl w:ilvl="2" w:tplc="7B7E277C" w:tentative="1">
      <w:start w:val="1"/>
      <w:numFmt w:val="bullet"/>
      <w:lvlText w:val="-"/>
      <w:lvlJc w:val="left"/>
      <w:pPr>
        <w:tabs>
          <w:tab w:val="num" w:pos="1800"/>
        </w:tabs>
        <w:ind w:left="1800" w:hanging="360"/>
      </w:pPr>
      <w:rPr>
        <w:rFonts w:ascii="Times New Roman" w:hAnsi="Times New Roman" w:hint="default"/>
      </w:rPr>
    </w:lvl>
    <w:lvl w:ilvl="3" w:tplc="12E8AF2C" w:tentative="1">
      <w:start w:val="1"/>
      <w:numFmt w:val="bullet"/>
      <w:lvlText w:val="-"/>
      <w:lvlJc w:val="left"/>
      <w:pPr>
        <w:tabs>
          <w:tab w:val="num" w:pos="2520"/>
        </w:tabs>
        <w:ind w:left="2520" w:hanging="360"/>
      </w:pPr>
      <w:rPr>
        <w:rFonts w:ascii="Times New Roman" w:hAnsi="Times New Roman" w:hint="default"/>
      </w:rPr>
    </w:lvl>
    <w:lvl w:ilvl="4" w:tplc="B844A84E" w:tentative="1">
      <w:start w:val="1"/>
      <w:numFmt w:val="bullet"/>
      <w:lvlText w:val="-"/>
      <w:lvlJc w:val="left"/>
      <w:pPr>
        <w:tabs>
          <w:tab w:val="num" w:pos="3240"/>
        </w:tabs>
        <w:ind w:left="3240" w:hanging="360"/>
      </w:pPr>
      <w:rPr>
        <w:rFonts w:ascii="Times New Roman" w:hAnsi="Times New Roman" w:hint="default"/>
      </w:rPr>
    </w:lvl>
    <w:lvl w:ilvl="5" w:tplc="6030916E" w:tentative="1">
      <w:start w:val="1"/>
      <w:numFmt w:val="bullet"/>
      <w:lvlText w:val="-"/>
      <w:lvlJc w:val="left"/>
      <w:pPr>
        <w:tabs>
          <w:tab w:val="num" w:pos="3960"/>
        </w:tabs>
        <w:ind w:left="3960" w:hanging="360"/>
      </w:pPr>
      <w:rPr>
        <w:rFonts w:ascii="Times New Roman" w:hAnsi="Times New Roman" w:hint="default"/>
      </w:rPr>
    </w:lvl>
    <w:lvl w:ilvl="6" w:tplc="9F063C20" w:tentative="1">
      <w:start w:val="1"/>
      <w:numFmt w:val="bullet"/>
      <w:lvlText w:val="-"/>
      <w:lvlJc w:val="left"/>
      <w:pPr>
        <w:tabs>
          <w:tab w:val="num" w:pos="4680"/>
        </w:tabs>
        <w:ind w:left="4680" w:hanging="360"/>
      </w:pPr>
      <w:rPr>
        <w:rFonts w:ascii="Times New Roman" w:hAnsi="Times New Roman" w:hint="default"/>
      </w:rPr>
    </w:lvl>
    <w:lvl w:ilvl="7" w:tplc="14BCCF9A" w:tentative="1">
      <w:start w:val="1"/>
      <w:numFmt w:val="bullet"/>
      <w:lvlText w:val="-"/>
      <w:lvlJc w:val="left"/>
      <w:pPr>
        <w:tabs>
          <w:tab w:val="num" w:pos="5400"/>
        </w:tabs>
        <w:ind w:left="5400" w:hanging="360"/>
      </w:pPr>
      <w:rPr>
        <w:rFonts w:ascii="Times New Roman" w:hAnsi="Times New Roman" w:hint="default"/>
      </w:rPr>
    </w:lvl>
    <w:lvl w:ilvl="8" w:tplc="C8F4BBE8" w:tentative="1">
      <w:start w:val="1"/>
      <w:numFmt w:val="bullet"/>
      <w:lvlText w:val="-"/>
      <w:lvlJc w:val="left"/>
      <w:pPr>
        <w:tabs>
          <w:tab w:val="num" w:pos="6120"/>
        </w:tabs>
        <w:ind w:left="6120" w:hanging="360"/>
      </w:pPr>
      <w:rPr>
        <w:rFonts w:ascii="Times New Roman" w:hAnsi="Times New Roman" w:hint="default"/>
      </w:rPr>
    </w:lvl>
  </w:abstractNum>
  <w:abstractNum w:abstractNumId="6">
    <w:nsid w:val="2C434B04"/>
    <w:multiLevelType w:val="hybridMultilevel"/>
    <w:tmpl w:val="3D22AE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2CEA568D"/>
    <w:multiLevelType w:val="hybridMultilevel"/>
    <w:tmpl w:val="271A6838"/>
    <w:lvl w:ilvl="0" w:tplc="0407000F">
      <w:start w:val="1"/>
      <w:numFmt w:val="decimal"/>
      <w:lvlText w:val="%1."/>
      <w:lvlJc w:val="left"/>
      <w:pPr>
        <w:ind w:left="720" w:hanging="360"/>
      </w:pPr>
      <w:rPr>
        <w:rFonts w:hint="default"/>
      </w:rPr>
    </w:lvl>
    <w:lvl w:ilvl="1" w:tplc="19260A5A" w:tentative="1">
      <w:start w:val="1"/>
      <w:numFmt w:val="bullet"/>
      <w:lvlText w:val="-"/>
      <w:lvlJc w:val="left"/>
      <w:pPr>
        <w:tabs>
          <w:tab w:val="num" w:pos="1440"/>
        </w:tabs>
        <w:ind w:left="1440" w:hanging="360"/>
      </w:pPr>
      <w:rPr>
        <w:rFonts w:ascii="Times New Roman" w:hAnsi="Times New Roman" w:hint="default"/>
      </w:rPr>
    </w:lvl>
    <w:lvl w:ilvl="2" w:tplc="633EA5A4" w:tentative="1">
      <w:start w:val="1"/>
      <w:numFmt w:val="bullet"/>
      <w:lvlText w:val="-"/>
      <w:lvlJc w:val="left"/>
      <w:pPr>
        <w:tabs>
          <w:tab w:val="num" w:pos="2160"/>
        </w:tabs>
        <w:ind w:left="2160" w:hanging="360"/>
      </w:pPr>
      <w:rPr>
        <w:rFonts w:ascii="Times New Roman" w:hAnsi="Times New Roman" w:hint="default"/>
      </w:rPr>
    </w:lvl>
    <w:lvl w:ilvl="3" w:tplc="34749044" w:tentative="1">
      <w:start w:val="1"/>
      <w:numFmt w:val="bullet"/>
      <w:lvlText w:val="-"/>
      <w:lvlJc w:val="left"/>
      <w:pPr>
        <w:tabs>
          <w:tab w:val="num" w:pos="2880"/>
        </w:tabs>
        <w:ind w:left="2880" w:hanging="360"/>
      </w:pPr>
      <w:rPr>
        <w:rFonts w:ascii="Times New Roman" w:hAnsi="Times New Roman" w:hint="default"/>
      </w:rPr>
    </w:lvl>
    <w:lvl w:ilvl="4" w:tplc="12BC3E64" w:tentative="1">
      <w:start w:val="1"/>
      <w:numFmt w:val="bullet"/>
      <w:lvlText w:val="-"/>
      <w:lvlJc w:val="left"/>
      <w:pPr>
        <w:tabs>
          <w:tab w:val="num" w:pos="3600"/>
        </w:tabs>
        <w:ind w:left="3600" w:hanging="360"/>
      </w:pPr>
      <w:rPr>
        <w:rFonts w:ascii="Times New Roman" w:hAnsi="Times New Roman" w:hint="default"/>
      </w:rPr>
    </w:lvl>
    <w:lvl w:ilvl="5" w:tplc="FA205EE4" w:tentative="1">
      <w:start w:val="1"/>
      <w:numFmt w:val="bullet"/>
      <w:lvlText w:val="-"/>
      <w:lvlJc w:val="left"/>
      <w:pPr>
        <w:tabs>
          <w:tab w:val="num" w:pos="4320"/>
        </w:tabs>
        <w:ind w:left="4320" w:hanging="360"/>
      </w:pPr>
      <w:rPr>
        <w:rFonts w:ascii="Times New Roman" w:hAnsi="Times New Roman" w:hint="default"/>
      </w:rPr>
    </w:lvl>
    <w:lvl w:ilvl="6" w:tplc="E3F49358" w:tentative="1">
      <w:start w:val="1"/>
      <w:numFmt w:val="bullet"/>
      <w:lvlText w:val="-"/>
      <w:lvlJc w:val="left"/>
      <w:pPr>
        <w:tabs>
          <w:tab w:val="num" w:pos="5040"/>
        </w:tabs>
        <w:ind w:left="5040" w:hanging="360"/>
      </w:pPr>
      <w:rPr>
        <w:rFonts w:ascii="Times New Roman" w:hAnsi="Times New Roman" w:hint="default"/>
      </w:rPr>
    </w:lvl>
    <w:lvl w:ilvl="7" w:tplc="40FA4520" w:tentative="1">
      <w:start w:val="1"/>
      <w:numFmt w:val="bullet"/>
      <w:lvlText w:val="-"/>
      <w:lvlJc w:val="left"/>
      <w:pPr>
        <w:tabs>
          <w:tab w:val="num" w:pos="5760"/>
        </w:tabs>
        <w:ind w:left="5760" w:hanging="360"/>
      </w:pPr>
      <w:rPr>
        <w:rFonts w:ascii="Times New Roman" w:hAnsi="Times New Roman" w:hint="default"/>
      </w:rPr>
    </w:lvl>
    <w:lvl w:ilvl="8" w:tplc="4D32CE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3D2990"/>
    <w:multiLevelType w:val="hybridMultilevel"/>
    <w:tmpl w:val="A7226F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AB5F66"/>
    <w:multiLevelType w:val="hybridMultilevel"/>
    <w:tmpl w:val="5E9045A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FE2DBA"/>
    <w:multiLevelType w:val="hybridMultilevel"/>
    <w:tmpl w:val="F7064C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9561F29"/>
    <w:multiLevelType w:val="hybridMultilevel"/>
    <w:tmpl w:val="4B00C63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496869CB"/>
    <w:multiLevelType w:val="hybridMultilevel"/>
    <w:tmpl w:val="A030C426"/>
    <w:lvl w:ilvl="0" w:tplc="62F0ED20">
      <w:start w:val="1"/>
      <w:numFmt w:val="bullet"/>
      <w:lvlText w:val="-"/>
      <w:lvlJc w:val="left"/>
      <w:pPr>
        <w:tabs>
          <w:tab w:val="num" w:pos="720"/>
        </w:tabs>
        <w:ind w:left="720" w:hanging="360"/>
      </w:pPr>
      <w:rPr>
        <w:rFonts w:ascii="Times New Roman" w:hAnsi="Times New Roman" w:hint="default"/>
      </w:rPr>
    </w:lvl>
    <w:lvl w:ilvl="1" w:tplc="85267068" w:tentative="1">
      <w:start w:val="1"/>
      <w:numFmt w:val="bullet"/>
      <w:lvlText w:val="-"/>
      <w:lvlJc w:val="left"/>
      <w:pPr>
        <w:tabs>
          <w:tab w:val="num" w:pos="1440"/>
        </w:tabs>
        <w:ind w:left="1440" w:hanging="360"/>
      </w:pPr>
      <w:rPr>
        <w:rFonts w:ascii="Times New Roman" w:hAnsi="Times New Roman" w:hint="default"/>
      </w:rPr>
    </w:lvl>
    <w:lvl w:ilvl="2" w:tplc="C73021A0" w:tentative="1">
      <w:start w:val="1"/>
      <w:numFmt w:val="bullet"/>
      <w:lvlText w:val="-"/>
      <w:lvlJc w:val="left"/>
      <w:pPr>
        <w:tabs>
          <w:tab w:val="num" w:pos="2160"/>
        </w:tabs>
        <w:ind w:left="2160" w:hanging="360"/>
      </w:pPr>
      <w:rPr>
        <w:rFonts w:ascii="Times New Roman" w:hAnsi="Times New Roman" w:hint="default"/>
      </w:rPr>
    </w:lvl>
    <w:lvl w:ilvl="3" w:tplc="6FF8FAD8" w:tentative="1">
      <w:start w:val="1"/>
      <w:numFmt w:val="bullet"/>
      <w:lvlText w:val="-"/>
      <w:lvlJc w:val="left"/>
      <w:pPr>
        <w:tabs>
          <w:tab w:val="num" w:pos="2880"/>
        </w:tabs>
        <w:ind w:left="2880" w:hanging="360"/>
      </w:pPr>
      <w:rPr>
        <w:rFonts w:ascii="Times New Roman" w:hAnsi="Times New Roman" w:hint="default"/>
      </w:rPr>
    </w:lvl>
    <w:lvl w:ilvl="4" w:tplc="C27A40B6" w:tentative="1">
      <w:start w:val="1"/>
      <w:numFmt w:val="bullet"/>
      <w:lvlText w:val="-"/>
      <w:lvlJc w:val="left"/>
      <w:pPr>
        <w:tabs>
          <w:tab w:val="num" w:pos="3600"/>
        </w:tabs>
        <w:ind w:left="3600" w:hanging="360"/>
      </w:pPr>
      <w:rPr>
        <w:rFonts w:ascii="Times New Roman" w:hAnsi="Times New Roman" w:hint="default"/>
      </w:rPr>
    </w:lvl>
    <w:lvl w:ilvl="5" w:tplc="E2D46A3E" w:tentative="1">
      <w:start w:val="1"/>
      <w:numFmt w:val="bullet"/>
      <w:lvlText w:val="-"/>
      <w:lvlJc w:val="left"/>
      <w:pPr>
        <w:tabs>
          <w:tab w:val="num" w:pos="4320"/>
        </w:tabs>
        <w:ind w:left="4320" w:hanging="360"/>
      </w:pPr>
      <w:rPr>
        <w:rFonts w:ascii="Times New Roman" w:hAnsi="Times New Roman" w:hint="default"/>
      </w:rPr>
    </w:lvl>
    <w:lvl w:ilvl="6" w:tplc="2574604A" w:tentative="1">
      <w:start w:val="1"/>
      <w:numFmt w:val="bullet"/>
      <w:lvlText w:val="-"/>
      <w:lvlJc w:val="left"/>
      <w:pPr>
        <w:tabs>
          <w:tab w:val="num" w:pos="5040"/>
        </w:tabs>
        <w:ind w:left="5040" w:hanging="360"/>
      </w:pPr>
      <w:rPr>
        <w:rFonts w:ascii="Times New Roman" w:hAnsi="Times New Roman" w:hint="default"/>
      </w:rPr>
    </w:lvl>
    <w:lvl w:ilvl="7" w:tplc="4D04005C" w:tentative="1">
      <w:start w:val="1"/>
      <w:numFmt w:val="bullet"/>
      <w:lvlText w:val="-"/>
      <w:lvlJc w:val="left"/>
      <w:pPr>
        <w:tabs>
          <w:tab w:val="num" w:pos="5760"/>
        </w:tabs>
        <w:ind w:left="5760" w:hanging="360"/>
      </w:pPr>
      <w:rPr>
        <w:rFonts w:ascii="Times New Roman" w:hAnsi="Times New Roman" w:hint="default"/>
      </w:rPr>
    </w:lvl>
    <w:lvl w:ilvl="8" w:tplc="3B1ADFE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E47EEB"/>
    <w:multiLevelType w:val="hybridMultilevel"/>
    <w:tmpl w:val="D0BA174E"/>
    <w:lvl w:ilvl="0" w:tplc="2716F7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9D50BF1"/>
    <w:multiLevelType w:val="hybridMultilevel"/>
    <w:tmpl w:val="AA3C3A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EEA142A"/>
    <w:multiLevelType w:val="hybridMultilevel"/>
    <w:tmpl w:val="9960618E"/>
    <w:lvl w:ilvl="0" w:tplc="7342368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F977900"/>
    <w:multiLevelType w:val="hybridMultilevel"/>
    <w:tmpl w:val="88FA4E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5734947"/>
    <w:multiLevelType w:val="hybridMultilevel"/>
    <w:tmpl w:val="C826EE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6D4125FC"/>
    <w:multiLevelType w:val="hybridMultilevel"/>
    <w:tmpl w:val="F488C8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500D96"/>
    <w:multiLevelType w:val="hybridMultilevel"/>
    <w:tmpl w:val="3340AF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1C85B05"/>
    <w:multiLevelType w:val="hybridMultilevel"/>
    <w:tmpl w:val="B0DC78DA"/>
    <w:lvl w:ilvl="0" w:tplc="0407000F">
      <w:start w:val="1"/>
      <w:numFmt w:val="decimal"/>
      <w:lvlText w:val="%1."/>
      <w:lvlJc w:val="left"/>
      <w:pPr>
        <w:ind w:left="720" w:hanging="360"/>
      </w:pPr>
      <w:rPr>
        <w:rFonts w:hint="default"/>
      </w:rPr>
    </w:lvl>
    <w:lvl w:ilvl="1" w:tplc="24F65F54" w:tentative="1">
      <w:start w:val="1"/>
      <w:numFmt w:val="bullet"/>
      <w:lvlText w:val="-"/>
      <w:lvlJc w:val="left"/>
      <w:pPr>
        <w:tabs>
          <w:tab w:val="num" w:pos="1440"/>
        </w:tabs>
        <w:ind w:left="1440" w:hanging="360"/>
      </w:pPr>
      <w:rPr>
        <w:rFonts w:ascii="Times New Roman" w:hAnsi="Times New Roman" w:hint="default"/>
      </w:rPr>
    </w:lvl>
    <w:lvl w:ilvl="2" w:tplc="7B7E277C" w:tentative="1">
      <w:start w:val="1"/>
      <w:numFmt w:val="bullet"/>
      <w:lvlText w:val="-"/>
      <w:lvlJc w:val="left"/>
      <w:pPr>
        <w:tabs>
          <w:tab w:val="num" w:pos="2160"/>
        </w:tabs>
        <w:ind w:left="2160" w:hanging="360"/>
      </w:pPr>
      <w:rPr>
        <w:rFonts w:ascii="Times New Roman" w:hAnsi="Times New Roman" w:hint="default"/>
      </w:rPr>
    </w:lvl>
    <w:lvl w:ilvl="3" w:tplc="12E8AF2C" w:tentative="1">
      <w:start w:val="1"/>
      <w:numFmt w:val="bullet"/>
      <w:lvlText w:val="-"/>
      <w:lvlJc w:val="left"/>
      <w:pPr>
        <w:tabs>
          <w:tab w:val="num" w:pos="2880"/>
        </w:tabs>
        <w:ind w:left="2880" w:hanging="360"/>
      </w:pPr>
      <w:rPr>
        <w:rFonts w:ascii="Times New Roman" w:hAnsi="Times New Roman" w:hint="default"/>
      </w:rPr>
    </w:lvl>
    <w:lvl w:ilvl="4" w:tplc="B844A84E" w:tentative="1">
      <w:start w:val="1"/>
      <w:numFmt w:val="bullet"/>
      <w:lvlText w:val="-"/>
      <w:lvlJc w:val="left"/>
      <w:pPr>
        <w:tabs>
          <w:tab w:val="num" w:pos="3600"/>
        </w:tabs>
        <w:ind w:left="3600" w:hanging="360"/>
      </w:pPr>
      <w:rPr>
        <w:rFonts w:ascii="Times New Roman" w:hAnsi="Times New Roman" w:hint="default"/>
      </w:rPr>
    </w:lvl>
    <w:lvl w:ilvl="5" w:tplc="6030916E" w:tentative="1">
      <w:start w:val="1"/>
      <w:numFmt w:val="bullet"/>
      <w:lvlText w:val="-"/>
      <w:lvlJc w:val="left"/>
      <w:pPr>
        <w:tabs>
          <w:tab w:val="num" w:pos="4320"/>
        </w:tabs>
        <w:ind w:left="4320" w:hanging="360"/>
      </w:pPr>
      <w:rPr>
        <w:rFonts w:ascii="Times New Roman" w:hAnsi="Times New Roman" w:hint="default"/>
      </w:rPr>
    </w:lvl>
    <w:lvl w:ilvl="6" w:tplc="9F063C20" w:tentative="1">
      <w:start w:val="1"/>
      <w:numFmt w:val="bullet"/>
      <w:lvlText w:val="-"/>
      <w:lvlJc w:val="left"/>
      <w:pPr>
        <w:tabs>
          <w:tab w:val="num" w:pos="5040"/>
        </w:tabs>
        <w:ind w:left="5040" w:hanging="360"/>
      </w:pPr>
      <w:rPr>
        <w:rFonts w:ascii="Times New Roman" w:hAnsi="Times New Roman" w:hint="default"/>
      </w:rPr>
    </w:lvl>
    <w:lvl w:ilvl="7" w:tplc="14BCCF9A" w:tentative="1">
      <w:start w:val="1"/>
      <w:numFmt w:val="bullet"/>
      <w:lvlText w:val="-"/>
      <w:lvlJc w:val="left"/>
      <w:pPr>
        <w:tabs>
          <w:tab w:val="num" w:pos="5760"/>
        </w:tabs>
        <w:ind w:left="5760" w:hanging="360"/>
      </w:pPr>
      <w:rPr>
        <w:rFonts w:ascii="Times New Roman" w:hAnsi="Times New Roman" w:hint="default"/>
      </w:rPr>
    </w:lvl>
    <w:lvl w:ilvl="8" w:tplc="C8F4BBE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BFF3748"/>
    <w:multiLevelType w:val="hybridMultilevel"/>
    <w:tmpl w:val="200E41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FBC1736"/>
    <w:multiLevelType w:val="hybridMultilevel"/>
    <w:tmpl w:val="4E929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7"/>
  </w:num>
  <w:num w:numId="4">
    <w:abstractNumId w:val="13"/>
  </w:num>
  <w:num w:numId="5">
    <w:abstractNumId w:val="15"/>
  </w:num>
  <w:num w:numId="6">
    <w:abstractNumId w:val="16"/>
  </w:num>
  <w:num w:numId="7">
    <w:abstractNumId w:val="10"/>
  </w:num>
  <w:num w:numId="8">
    <w:abstractNumId w:val="8"/>
  </w:num>
  <w:num w:numId="9">
    <w:abstractNumId w:val="19"/>
  </w:num>
  <w:num w:numId="10">
    <w:abstractNumId w:val="9"/>
  </w:num>
  <w:num w:numId="11">
    <w:abstractNumId w:val="6"/>
  </w:num>
  <w:num w:numId="12">
    <w:abstractNumId w:val="22"/>
  </w:num>
  <w:num w:numId="13">
    <w:abstractNumId w:val="4"/>
  </w:num>
  <w:num w:numId="14">
    <w:abstractNumId w:val="17"/>
  </w:num>
  <w:num w:numId="15">
    <w:abstractNumId w:val="0"/>
  </w:num>
  <w:num w:numId="16">
    <w:abstractNumId w:val="3"/>
  </w:num>
  <w:num w:numId="17">
    <w:abstractNumId w:val="14"/>
  </w:num>
  <w:num w:numId="18">
    <w:abstractNumId w:val="18"/>
  </w:num>
  <w:num w:numId="19">
    <w:abstractNumId w:val="21"/>
  </w:num>
  <w:num w:numId="20">
    <w:abstractNumId w:val="5"/>
  </w:num>
  <w:num w:numId="21">
    <w:abstractNumId w:val="1"/>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5F"/>
    <w:rsid w:val="000034AE"/>
    <w:rsid w:val="00004D36"/>
    <w:rsid w:val="00005B6B"/>
    <w:rsid w:val="000229B5"/>
    <w:rsid w:val="0002408A"/>
    <w:rsid w:val="00033A55"/>
    <w:rsid w:val="00064873"/>
    <w:rsid w:val="0007089D"/>
    <w:rsid w:val="00075855"/>
    <w:rsid w:val="0008077C"/>
    <w:rsid w:val="00090E2B"/>
    <w:rsid w:val="000C0A6D"/>
    <w:rsid w:val="000F2D72"/>
    <w:rsid w:val="001046BB"/>
    <w:rsid w:val="001074ED"/>
    <w:rsid w:val="00115C60"/>
    <w:rsid w:val="00152834"/>
    <w:rsid w:val="00166348"/>
    <w:rsid w:val="00191ED1"/>
    <w:rsid w:val="001B1C36"/>
    <w:rsid w:val="001C6273"/>
    <w:rsid w:val="001D41F6"/>
    <w:rsid w:val="001E1E38"/>
    <w:rsid w:val="00203C54"/>
    <w:rsid w:val="002050B5"/>
    <w:rsid w:val="002118EA"/>
    <w:rsid w:val="00211C3B"/>
    <w:rsid w:val="00217635"/>
    <w:rsid w:val="00244116"/>
    <w:rsid w:val="002442CD"/>
    <w:rsid w:val="002458BD"/>
    <w:rsid w:val="00253091"/>
    <w:rsid w:val="002541AA"/>
    <w:rsid w:val="00257EEA"/>
    <w:rsid w:val="00260981"/>
    <w:rsid w:val="00263AF9"/>
    <w:rsid w:val="002E6E03"/>
    <w:rsid w:val="002F2BEB"/>
    <w:rsid w:val="00304EAA"/>
    <w:rsid w:val="003052C5"/>
    <w:rsid w:val="003117E7"/>
    <w:rsid w:val="00365417"/>
    <w:rsid w:val="00373A09"/>
    <w:rsid w:val="003822B5"/>
    <w:rsid w:val="00384628"/>
    <w:rsid w:val="003A481B"/>
    <w:rsid w:val="003C6A16"/>
    <w:rsid w:val="003D1442"/>
    <w:rsid w:val="003D7871"/>
    <w:rsid w:val="003E3329"/>
    <w:rsid w:val="003F32C5"/>
    <w:rsid w:val="003F6888"/>
    <w:rsid w:val="004247B2"/>
    <w:rsid w:val="0043105D"/>
    <w:rsid w:val="00435EBB"/>
    <w:rsid w:val="00436492"/>
    <w:rsid w:val="004434CB"/>
    <w:rsid w:val="00450CE7"/>
    <w:rsid w:val="00476375"/>
    <w:rsid w:val="004B5D71"/>
    <w:rsid w:val="004D2ADF"/>
    <w:rsid w:val="00501F0F"/>
    <w:rsid w:val="00511535"/>
    <w:rsid w:val="00561214"/>
    <w:rsid w:val="00564F8F"/>
    <w:rsid w:val="0057063D"/>
    <w:rsid w:val="005A03AE"/>
    <w:rsid w:val="005F1B87"/>
    <w:rsid w:val="005F4999"/>
    <w:rsid w:val="0060344C"/>
    <w:rsid w:val="006224EC"/>
    <w:rsid w:val="00622C49"/>
    <w:rsid w:val="006246EE"/>
    <w:rsid w:val="00631445"/>
    <w:rsid w:val="00640F03"/>
    <w:rsid w:val="006572F6"/>
    <w:rsid w:val="00667C8E"/>
    <w:rsid w:val="00674CE6"/>
    <w:rsid w:val="00675990"/>
    <w:rsid w:val="00682A32"/>
    <w:rsid w:val="00682BCF"/>
    <w:rsid w:val="006907B5"/>
    <w:rsid w:val="006C74F6"/>
    <w:rsid w:val="006C7B02"/>
    <w:rsid w:val="00701AE5"/>
    <w:rsid w:val="0072008D"/>
    <w:rsid w:val="00730CFC"/>
    <w:rsid w:val="00745B69"/>
    <w:rsid w:val="007619D6"/>
    <w:rsid w:val="00763B89"/>
    <w:rsid w:val="00767102"/>
    <w:rsid w:val="0077143D"/>
    <w:rsid w:val="007B3EC5"/>
    <w:rsid w:val="007C3688"/>
    <w:rsid w:val="007F6245"/>
    <w:rsid w:val="008251B6"/>
    <w:rsid w:val="0083454B"/>
    <w:rsid w:val="00844AAD"/>
    <w:rsid w:val="00855662"/>
    <w:rsid w:val="0088541C"/>
    <w:rsid w:val="00886FA3"/>
    <w:rsid w:val="008A2680"/>
    <w:rsid w:val="008E03E3"/>
    <w:rsid w:val="008E2E50"/>
    <w:rsid w:val="009162CA"/>
    <w:rsid w:val="00920437"/>
    <w:rsid w:val="009710C7"/>
    <w:rsid w:val="009778FC"/>
    <w:rsid w:val="00995047"/>
    <w:rsid w:val="009A39B2"/>
    <w:rsid w:val="009E7D59"/>
    <w:rsid w:val="00A01690"/>
    <w:rsid w:val="00A23453"/>
    <w:rsid w:val="00A308B2"/>
    <w:rsid w:val="00A5346C"/>
    <w:rsid w:val="00A647D5"/>
    <w:rsid w:val="00A71A26"/>
    <w:rsid w:val="00A92659"/>
    <w:rsid w:val="00A967EC"/>
    <w:rsid w:val="00AA56FE"/>
    <w:rsid w:val="00AB0A05"/>
    <w:rsid w:val="00AC0A26"/>
    <w:rsid w:val="00B03966"/>
    <w:rsid w:val="00B3058B"/>
    <w:rsid w:val="00B37A1D"/>
    <w:rsid w:val="00B62508"/>
    <w:rsid w:val="00BA4126"/>
    <w:rsid w:val="00BB1720"/>
    <w:rsid w:val="00BB45DF"/>
    <w:rsid w:val="00BB6B6D"/>
    <w:rsid w:val="00BB7EC6"/>
    <w:rsid w:val="00BC7E0F"/>
    <w:rsid w:val="00BE136B"/>
    <w:rsid w:val="00BF6226"/>
    <w:rsid w:val="00C01D36"/>
    <w:rsid w:val="00C0304B"/>
    <w:rsid w:val="00C0665F"/>
    <w:rsid w:val="00C7346D"/>
    <w:rsid w:val="00C80470"/>
    <w:rsid w:val="00C81895"/>
    <w:rsid w:val="00C90640"/>
    <w:rsid w:val="00CC0726"/>
    <w:rsid w:val="00D1541B"/>
    <w:rsid w:val="00D260D3"/>
    <w:rsid w:val="00D51D57"/>
    <w:rsid w:val="00D5682B"/>
    <w:rsid w:val="00D80CAF"/>
    <w:rsid w:val="00DB6256"/>
    <w:rsid w:val="00DD1C73"/>
    <w:rsid w:val="00DF2387"/>
    <w:rsid w:val="00E32763"/>
    <w:rsid w:val="00E343EA"/>
    <w:rsid w:val="00E41A8C"/>
    <w:rsid w:val="00E43954"/>
    <w:rsid w:val="00E571C5"/>
    <w:rsid w:val="00E61937"/>
    <w:rsid w:val="00E66E16"/>
    <w:rsid w:val="00E76C08"/>
    <w:rsid w:val="00E80966"/>
    <w:rsid w:val="00EA4B21"/>
    <w:rsid w:val="00EB7BFD"/>
    <w:rsid w:val="00EC60FD"/>
    <w:rsid w:val="00ED1D9F"/>
    <w:rsid w:val="00EF3ECB"/>
    <w:rsid w:val="00F02DFF"/>
    <w:rsid w:val="00F50DB4"/>
    <w:rsid w:val="00F54A12"/>
    <w:rsid w:val="00F66884"/>
    <w:rsid w:val="00F67E1C"/>
    <w:rsid w:val="00F74A6D"/>
    <w:rsid w:val="00F91B5C"/>
    <w:rsid w:val="00FA04B8"/>
    <w:rsid w:val="00FD409A"/>
    <w:rsid w:val="00FD4C88"/>
    <w:rsid w:val="00FE4848"/>
    <w:rsid w:val="00FE7331"/>
    <w:rsid w:val="24FAC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89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E136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C0665F"/>
    <w:rPr>
      <w:color w:val="0563C1" w:themeColor="hyperlink"/>
      <w:u w:val="single"/>
    </w:rPr>
  </w:style>
  <w:style w:type="paragraph" w:styleId="StandardWeb">
    <w:name w:val="Normal (Web)"/>
    <w:basedOn w:val="Standard"/>
    <w:uiPriority w:val="99"/>
    <w:semiHidden/>
    <w:unhideWhenUsed/>
    <w:rsid w:val="00C0665F"/>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C0665F"/>
    <w:pPr>
      <w:ind w:left="720"/>
      <w:contextualSpacing/>
    </w:pPr>
  </w:style>
  <w:style w:type="paragraph" w:styleId="Kopfzeile">
    <w:name w:val="header"/>
    <w:basedOn w:val="Standard"/>
    <w:link w:val="KopfzeileZchn"/>
    <w:uiPriority w:val="99"/>
    <w:unhideWhenUsed/>
    <w:rsid w:val="000229B5"/>
    <w:pPr>
      <w:tabs>
        <w:tab w:val="center" w:pos="4536"/>
        <w:tab w:val="right" w:pos="9072"/>
      </w:tabs>
    </w:pPr>
  </w:style>
  <w:style w:type="character" w:customStyle="1" w:styleId="KopfzeileZchn">
    <w:name w:val="Kopfzeile Zchn"/>
    <w:basedOn w:val="Absatz-Standardschriftart"/>
    <w:link w:val="Kopfzeile"/>
    <w:uiPriority w:val="99"/>
    <w:rsid w:val="000229B5"/>
  </w:style>
  <w:style w:type="paragraph" w:styleId="Fuzeile">
    <w:name w:val="footer"/>
    <w:basedOn w:val="Standard"/>
    <w:link w:val="FuzeileZchn"/>
    <w:uiPriority w:val="99"/>
    <w:unhideWhenUsed/>
    <w:rsid w:val="000229B5"/>
    <w:pPr>
      <w:tabs>
        <w:tab w:val="center" w:pos="4536"/>
        <w:tab w:val="right" w:pos="9072"/>
      </w:tabs>
    </w:pPr>
  </w:style>
  <w:style w:type="character" w:customStyle="1" w:styleId="FuzeileZchn">
    <w:name w:val="Fußzeile Zchn"/>
    <w:basedOn w:val="Absatz-Standardschriftart"/>
    <w:link w:val="Fuzeile"/>
    <w:uiPriority w:val="99"/>
    <w:rsid w:val="000229B5"/>
  </w:style>
  <w:style w:type="character" w:styleId="Seitenzahl">
    <w:name w:val="page number"/>
    <w:basedOn w:val="Absatz-Standardschriftart"/>
    <w:uiPriority w:val="99"/>
    <w:semiHidden/>
    <w:unhideWhenUsed/>
    <w:rsid w:val="000229B5"/>
  </w:style>
  <w:style w:type="paragraph" w:styleId="Sprechblasentext">
    <w:name w:val="Balloon Text"/>
    <w:basedOn w:val="Standard"/>
    <w:link w:val="SprechblasentextZchn"/>
    <w:uiPriority w:val="99"/>
    <w:semiHidden/>
    <w:unhideWhenUsed/>
    <w:rsid w:val="00A234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3453"/>
    <w:rPr>
      <w:rFonts w:ascii="Segoe UI" w:hAnsi="Segoe UI" w:cs="Segoe UI"/>
      <w:sz w:val="18"/>
      <w:szCs w:val="18"/>
    </w:rPr>
  </w:style>
  <w:style w:type="character" w:styleId="Kommentarzeichen">
    <w:name w:val="annotation reference"/>
    <w:basedOn w:val="Absatz-Standardschriftart"/>
    <w:uiPriority w:val="99"/>
    <w:semiHidden/>
    <w:unhideWhenUsed/>
    <w:rsid w:val="001B1C36"/>
    <w:rPr>
      <w:sz w:val="16"/>
      <w:szCs w:val="16"/>
    </w:rPr>
  </w:style>
  <w:style w:type="paragraph" w:styleId="Kommentartext">
    <w:name w:val="annotation text"/>
    <w:basedOn w:val="Standard"/>
    <w:link w:val="KommentartextZchn"/>
    <w:uiPriority w:val="99"/>
    <w:semiHidden/>
    <w:unhideWhenUsed/>
    <w:rsid w:val="001B1C36"/>
    <w:rPr>
      <w:sz w:val="20"/>
      <w:szCs w:val="20"/>
    </w:rPr>
  </w:style>
  <w:style w:type="character" w:customStyle="1" w:styleId="KommentartextZchn">
    <w:name w:val="Kommentartext Zchn"/>
    <w:basedOn w:val="Absatz-Standardschriftart"/>
    <w:link w:val="Kommentartext"/>
    <w:uiPriority w:val="99"/>
    <w:semiHidden/>
    <w:rsid w:val="001B1C36"/>
    <w:rPr>
      <w:sz w:val="20"/>
      <w:szCs w:val="20"/>
    </w:rPr>
  </w:style>
  <w:style w:type="paragraph" w:styleId="Kommentarthema">
    <w:name w:val="annotation subject"/>
    <w:basedOn w:val="Kommentartext"/>
    <w:next w:val="Kommentartext"/>
    <w:link w:val="KommentarthemaZchn"/>
    <w:uiPriority w:val="99"/>
    <w:semiHidden/>
    <w:unhideWhenUsed/>
    <w:rsid w:val="001B1C36"/>
    <w:rPr>
      <w:b/>
      <w:bCs/>
    </w:rPr>
  </w:style>
  <w:style w:type="character" w:customStyle="1" w:styleId="KommentarthemaZchn">
    <w:name w:val="Kommentarthema Zchn"/>
    <w:basedOn w:val="KommentartextZchn"/>
    <w:link w:val="Kommentarthema"/>
    <w:uiPriority w:val="99"/>
    <w:semiHidden/>
    <w:rsid w:val="001B1C36"/>
    <w:rPr>
      <w:b/>
      <w:bCs/>
      <w:sz w:val="20"/>
      <w:szCs w:val="20"/>
    </w:rPr>
  </w:style>
  <w:style w:type="character" w:customStyle="1" w:styleId="berschrift1Zchn">
    <w:name w:val="Überschrift 1 Zchn"/>
    <w:basedOn w:val="Absatz-Standardschriftart"/>
    <w:link w:val="berschrift1"/>
    <w:uiPriority w:val="9"/>
    <w:rsid w:val="00BE136B"/>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E136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E13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0142">
      <w:bodyDiv w:val="1"/>
      <w:marLeft w:val="0"/>
      <w:marRight w:val="0"/>
      <w:marTop w:val="0"/>
      <w:marBottom w:val="0"/>
      <w:divBdr>
        <w:top w:val="none" w:sz="0" w:space="0" w:color="auto"/>
        <w:left w:val="none" w:sz="0" w:space="0" w:color="auto"/>
        <w:bottom w:val="none" w:sz="0" w:space="0" w:color="auto"/>
        <w:right w:val="none" w:sz="0" w:space="0" w:color="auto"/>
      </w:divBdr>
      <w:divsChild>
        <w:div w:id="329337707">
          <w:marLeft w:val="274"/>
          <w:marRight w:val="0"/>
          <w:marTop w:val="0"/>
          <w:marBottom w:val="0"/>
          <w:divBdr>
            <w:top w:val="none" w:sz="0" w:space="0" w:color="auto"/>
            <w:left w:val="none" w:sz="0" w:space="0" w:color="auto"/>
            <w:bottom w:val="none" w:sz="0" w:space="0" w:color="auto"/>
            <w:right w:val="none" w:sz="0" w:space="0" w:color="auto"/>
          </w:divBdr>
        </w:div>
        <w:div w:id="165946110">
          <w:marLeft w:val="274"/>
          <w:marRight w:val="0"/>
          <w:marTop w:val="0"/>
          <w:marBottom w:val="0"/>
          <w:divBdr>
            <w:top w:val="none" w:sz="0" w:space="0" w:color="auto"/>
            <w:left w:val="none" w:sz="0" w:space="0" w:color="auto"/>
            <w:bottom w:val="none" w:sz="0" w:space="0" w:color="auto"/>
            <w:right w:val="none" w:sz="0" w:space="0" w:color="auto"/>
          </w:divBdr>
        </w:div>
        <w:div w:id="1504275805">
          <w:marLeft w:val="274"/>
          <w:marRight w:val="0"/>
          <w:marTop w:val="0"/>
          <w:marBottom w:val="0"/>
          <w:divBdr>
            <w:top w:val="none" w:sz="0" w:space="0" w:color="auto"/>
            <w:left w:val="none" w:sz="0" w:space="0" w:color="auto"/>
            <w:bottom w:val="none" w:sz="0" w:space="0" w:color="auto"/>
            <w:right w:val="none" w:sz="0" w:space="0" w:color="auto"/>
          </w:divBdr>
        </w:div>
        <w:div w:id="523595276">
          <w:marLeft w:val="274"/>
          <w:marRight w:val="0"/>
          <w:marTop w:val="0"/>
          <w:marBottom w:val="0"/>
          <w:divBdr>
            <w:top w:val="none" w:sz="0" w:space="0" w:color="auto"/>
            <w:left w:val="none" w:sz="0" w:space="0" w:color="auto"/>
            <w:bottom w:val="none" w:sz="0" w:space="0" w:color="auto"/>
            <w:right w:val="none" w:sz="0" w:space="0" w:color="auto"/>
          </w:divBdr>
        </w:div>
        <w:div w:id="2147382671">
          <w:marLeft w:val="274"/>
          <w:marRight w:val="0"/>
          <w:marTop w:val="0"/>
          <w:marBottom w:val="0"/>
          <w:divBdr>
            <w:top w:val="none" w:sz="0" w:space="0" w:color="auto"/>
            <w:left w:val="none" w:sz="0" w:space="0" w:color="auto"/>
            <w:bottom w:val="none" w:sz="0" w:space="0" w:color="auto"/>
            <w:right w:val="none" w:sz="0" w:space="0" w:color="auto"/>
          </w:divBdr>
        </w:div>
        <w:div w:id="862285121">
          <w:marLeft w:val="274"/>
          <w:marRight w:val="0"/>
          <w:marTop w:val="0"/>
          <w:marBottom w:val="0"/>
          <w:divBdr>
            <w:top w:val="none" w:sz="0" w:space="0" w:color="auto"/>
            <w:left w:val="none" w:sz="0" w:space="0" w:color="auto"/>
            <w:bottom w:val="none" w:sz="0" w:space="0" w:color="auto"/>
            <w:right w:val="none" w:sz="0" w:space="0" w:color="auto"/>
          </w:divBdr>
        </w:div>
      </w:divsChild>
    </w:div>
    <w:div w:id="236939916">
      <w:bodyDiv w:val="1"/>
      <w:marLeft w:val="0"/>
      <w:marRight w:val="0"/>
      <w:marTop w:val="0"/>
      <w:marBottom w:val="0"/>
      <w:divBdr>
        <w:top w:val="none" w:sz="0" w:space="0" w:color="auto"/>
        <w:left w:val="none" w:sz="0" w:space="0" w:color="auto"/>
        <w:bottom w:val="none" w:sz="0" w:space="0" w:color="auto"/>
        <w:right w:val="none" w:sz="0" w:space="0" w:color="auto"/>
      </w:divBdr>
    </w:div>
    <w:div w:id="242952170">
      <w:bodyDiv w:val="1"/>
      <w:marLeft w:val="0"/>
      <w:marRight w:val="0"/>
      <w:marTop w:val="0"/>
      <w:marBottom w:val="0"/>
      <w:divBdr>
        <w:top w:val="none" w:sz="0" w:space="0" w:color="auto"/>
        <w:left w:val="none" w:sz="0" w:space="0" w:color="auto"/>
        <w:bottom w:val="none" w:sz="0" w:space="0" w:color="auto"/>
        <w:right w:val="none" w:sz="0" w:space="0" w:color="auto"/>
      </w:divBdr>
    </w:div>
    <w:div w:id="686249382">
      <w:bodyDiv w:val="1"/>
      <w:marLeft w:val="0"/>
      <w:marRight w:val="0"/>
      <w:marTop w:val="0"/>
      <w:marBottom w:val="0"/>
      <w:divBdr>
        <w:top w:val="none" w:sz="0" w:space="0" w:color="auto"/>
        <w:left w:val="none" w:sz="0" w:space="0" w:color="auto"/>
        <w:bottom w:val="none" w:sz="0" w:space="0" w:color="auto"/>
        <w:right w:val="none" w:sz="0" w:space="0" w:color="auto"/>
      </w:divBdr>
    </w:div>
    <w:div w:id="724060367">
      <w:bodyDiv w:val="1"/>
      <w:marLeft w:val="0"/>
      <w:marRight w:val="0"/>
      <w:marTop w:val="0"/>
      <w:marBottom w:val="0"/>
      <w:divBdr>
        <w:top w:val="none" w:sz="0" w:space="0" w:color="auto"/>
        <w:left w:val="none" w:sz="0" w:space="0" w:color="auto"/>
        <w:bottom w:val="none" w:sz="0" w:space="0" w:color="auto"/>
        <w:right w:val="none" w:sz="0" w:space="0" w:color="auto"/>
      </w:divBdr>
    </w:div>
    <w:div w:id="1044211729">
      <w:bodyDiv w:val="1"/>
      <w:marLeft w:val="0"/>
      <w:marRight w:val="0"/>
      <w:marTop w:val="0"/>
      <w:marBottom w:val="0"/>
      <w:divBdr>
        <w:top w:val="none" w:sz="0" w:space="0" w:color="auto"/>
        <w:left w:val="none" w:sz="0" w:space="0" w:color="auto"/>
        <w:bottom w:val="none" w:sz="0" w:space="0" w:color="auto"/>
        <w:right w:val="none" w:sz="0" w:space="0" w:color="auto"/>
      </w:divBdr>
    </w:div>
    <w:div w:id="1050763367">
      <w:bodyDiv w:val="1"/>
      <w:marLeft w:val="0"/>
      <w:marRight w:val="0"/>
      <w:marTop w:val="0"/>
      <w:marBottom w:val="0"/>
      <w:divBdr>
        <w:top w:val="none" w:sz="0" w:space="0" w:color="auto"/>
        <w:left w:val="none" w:sz="0" w:space="0" w:color="auto"/>
        <w:bottom w:val="none" w:sz="0" w:space="0" w:color="auto"/>
        <w:right w:val="none" w:sz="0" w:space="0" w:color="auto"/>
      </w:divBdr>
    </w:div>
    <w:div w:id="1064528426">
      <w:bodyDiv w:val="1"/>
      <w:marLeft w:val="0"/>
      <w:marRight w:val="0"/>
      <w:marTop w:val="0"/>
      <w:marBottom w:val="0"/>
      <w:divBdr>
        <w:top w:val="none" w:sz="0" w:space="0" w:color="auto"/>
        <w:left w:val="none" w:sz="0" w:space="0" w:color="auto"/>
        <w:bottom w:val="none" w:sz="0" w:space="0" w:color="auto"/>
        <w:right w:val="none" w:sz="0" w:space="0" w:color="auto"/>
      </w:divBdr>
    </w:div>
    <w:div w:id="1065184206">
      <w:bodyDiv w:val="1"/>
      <w:marLeft w:val="0"/>
      <w:marRight w:val="0"/>
      <w:marTop w:val="0"/>
      <w:marBottom w:val="0"/>
      <w:divBdr>
        <w:top w:val="none" w:sz="0" w:space="0" w:color="auto"/>
        <w:left w:val="none" w:sz="0" w:space="0" w:color="auto"/>
        <w:bottom w:val="none" w:sz="0" w:space="0" w:color="auto"/>
        <w:right w:val="none" w:sz="0" w:space="0" w:color="auto"/>
      </w:divBdr>
    </w:div>
    <w:div w:id="1248882785">
      <w:bodyDiv w:val="1"/>
      <w:marLeft w:val="0"/>
      <w:marRight w:val="0"/>
      <w:marTop w:val="0"/>
      <w:marBottom w:val="0"/>
      <w:divBdr>
        <w:top w:val="none" w:sz="0" w:space="0" w:color="auto"/>
        <w:left w:val="none" w:sz="0" w:space="0" w:color="auto"/>
        <w:bottom w:val="none" w:sz="0" w:space="0" w:color="auto"/>
        <w:right w:val="none" w:sz="0" w:space="0" w:color="auto"/>
      </w:divBdr>
    </w:div>
    <w:div w:id="1422869549">
      <w:bodyDiv w:val="1"/>
      <w:marLeft w:val="0"/>
      <w:marRight w:val="0"/>
      <w:marTop w:val="0"/>
      <w:marBottom w:val="0"/>
      <w:divBdr>
        <w:top w:val="none" w:sz="0" w:space="0" w:color="auto"/>
        <w:left w:val="none" w:sz="0" w:space="0" w:color="auto"/>
        <w:bottom w:val="none" w:sz="0" w:space="0" w:color="auto"/>
        <w:right w:val="none" w:sz="0" w:space="0" w:color="auto"/>
      </w:divBdr>
      <w:divsChild>
        <w:div w:id="1003823584">
          <w:marLeft w:val="274"/>
          <w:marRight w:val="0"/>
          <w:marTop w:val="0"/>
          <w:marBottom w:val="0"/>
          <w:divBdr>
            <w:top w:val="none" w:sz="0" w:space="0" w:color="auto"/>
            <w:left w:val="none" w:sz="0" w:space="0" w:color="auto"/>
            <w:bottom w:val="none" w:sz="0" w:space="0" w:color="auto"/>
            <w:right w:val="none" w:sz="0" w:space="0" w:color="auto"/>
          </w:divBdr>
        </w:div>
        <w:div w:id="67776000">
          <w:marLeft w:val="274"/>
          <w:marRight w:val="0"/>
          <w:marTop w:val="0"/>
          <w:marBottom w:val="0"/>
          <w:divBdr>
            <w:top w:val="none" w:sz="0" w:space="0" w:color="auto"/>
            <w:left w:val="none" w:sz="0" w:space="0" w:color="auto"/>
            <w:bottom w:val="none" w:sz="0" w:space="0" w:color="auto"/>
            <w:right w:val="none" w:sz="0" w:space="0" w:color="auto"/>
          </w:divBdr>
        </w:div>
        <w:div w:id="851991780">
          <w:marLeft w:val="274"/>
          <w:marRight w:val="0"/>
          <w:marTop w:val="0"/>
          <w:marBottom w:val="0"/>
          <w:divBdr>
            <w:top w:val="none" w:sz="0" w:space="0" w:color="auto"/>
            <w:left w:val="none" w:sz="0" w:space="0" w:color="auto"/>
            <w:bottom w:val="none" w:sz="0" w:space="0" w:color="auto"/>
            <w:right w:val="none" w:sz="0" w:space="0" w:color="auto"/>
          </w:divBdr>
        </w:div>
        <w:div w:id="113452695">
          <w:marLeft w:val="274"/>
          <w:marRight w:val="0"/>
          <w:marTop w:val="0"/>
          <w:marBottom w:val="0"/>
          <w:divBdr>
            <w:top w:val="none" w:sz="0" w:space="0" w:color="auto"/>
            <w:left w:val="none" w:sz="0" w:space="0" w:color="auto"/>
            <w:bottom w:val="none" w:sz="0" w:space="0" w:color="auto"/>
            <w:right w:val="none" w:sz="0" w:space="0" w:color="auto"/>
          </w:divBdr>
        </w:div>
        <w:div w:id="1538736016">
          <w:marLeft w:val="274"/>
          <w:marRight w:val="0"/>
          <w:marTop w:val="0"/>
          <w:marBottom w:val="0"/>
          <w:divBdr>
            <w:top w:val="none" w:sz="0" w:space="0" w:color="auto"/>
            <w:left w:val="none" w:sz="0" w:space="0" w:color="auto"/>
            <w:bottom w:val="none" w:sz="0" w:space="0" w:color="auto"/>
            <w:right w:val="none" w:sz="0" w:space="0" w:color="auto"/>
          </w:divBdr>
        </w:div>
        <w:div w:id="1543130902">
          <w:marLeft w:val="274"/>
          <w:marRight w:val="0"/>
          <w:marTop w:val="0"/>
          <w:marBottom w:val="0"/>
          <w:divBdr>
            <w:top w:val="none" w:sz="0" w:space="0" w:color="auto"/>
            <w:left w:val="none" w:sz="0" w:space="0" w:color="auto"/>
            <w:bottom w:val="none" w:sz="0" w:space="0" w:color="auto"/>
            <w:right w:val="none" w:sz="0" w:space="0" w:color="auto"/>
          </w:divBdr>
        </w:div>
        <w:div w:id="1701663457">
          <w:marLeft w:val="274"/>
          <w:marRight w:val="0"/>
          <w:marTop w:val="0"/>
          <w:marBottom w:val="0"/>
          <w:divBdr>
            <w:top w:val="none" w:sz="0" w:space="0" w:color="auto"/>
            <w:left w:val="none" w:sz="0" w:space="0" w:color="auto"/>
            <w:bottom w:val="none" w:sz="0" w:space="0" w:color="auto"/>
            <w:right w:val="none" w:sz="0" w:space="0" w:color="auto"/>
          </w:divBdr>
        </w:div>
        <w:div w:id="2037389249">
          <w:marLeft w:val="274"/>
          <w:marRight w:val="0"/>
          <w:marTop w:val="0"/>
          <w:marBottom w:val="0"/>
          <w:divBdr>
            <w:top w:val="none" w:sz="0" w:space="0" w:color="auto"/>
            <w:left w:val="none" w:sz="0" w:space="0" w:color="auto"/>
            <w:bottom w:val="none" w:sz="0" w:space="0" w:color="auto"/>
            <w:right w:val="none" w:sz="0" w:space="0" w:color="auto"/>
          </w:divBdr>
        </w:div>
      </w:divsChild>
    </w:div>
    <w:div w:id="1611006972">
      <w:bodyDiv w:val="1"/>
      <w:marLeft w:val="0"/>
      <w:marRight w:val="0"/>
      <w:marTop w:val="0"/>
      <w:marBottom w:val="0"/>
      <w:divBdr>
        <w:top w:val="none" w:sz="0" w:space="0" w:color="auto"/>
        <w:left w:val="none" w:sz="0" w:space="0" w:color="auto"/>
        <w:bottom w:val="none" w:sz="0" w:space="0" w:color="auto"/>
        <w:right w:val="none" w:sz="0" w:space="0" w:color="auto"/>
      </w:divBdr>
    </w:div>
    <w:div w:id="1636443992">
      <w:bodyDiv w:val="1"/>
      <w:marLeft w:val="0"/>
      <w:marRight w:val="0"/>
      <w:marTop w:val="0"/>
      <w:marBottom w:val="0"/>
      <w:divBdr>
        <w:top w:val="none" w:sz="0" w:space="0" w:color="auto"/>
        <w:left w:val="none" w:sz="0" w:space="0" w:color="auto"/>
        <w:bottom w:val="none" w:sz="0" w:space="0" w:color="auto"/>
        <w:right w:val="none" w:sz="0" w:space="0" w:color="auto"/>
      </w:divBdr>
    </w:div>
    <w:div w:id="1650207149">
      <w:bodyDiv w:val="1"/>
      <w:marLeft w:val="0"/>
      <w:marRight w:val="0"/>
      <w:marTop w:val="0"/>
      <w:marBottom w:val="0"/>
      <w:divBdr>
        <w:top w:val="none" w:sz="0" w:space="0" w:color="auto"/>
        <w:left w:val="none" w:sz="0" w:space="0" w:color="auto"/>
        <w:bottom w:val="none" w:sz="0" w:space="0" w:color="auto"/>
        <w:right w:val="none" w:sz="0" w:space="0" w:color="auto"/>
      </w:divBdr>
      <w:divsChild>
        <w:div w:id="609698764">
          <w:marLeft w:val="274"/>
          <w:marRight w:val="0"/>
          <w:marTop w:val="0"/>
          <w:marBottom w:val="0"/>
          <w:divBdr>
            <w:top w:val="none" w:sz="0" w:space="0" w:color="auto"/>
            <w:left w:val="none" w:sz="0" w:space="0" w:color="auto"/>
            <w:bottom w:val="none" w:sz="0" w:space="0" w:color="auto"/>
            <w:right w:val="none" w:sz="0" w:space="0" w:color="auto"/>
          </w:divBdr>
        </w:div>
        <w:div w:id="1172843306">
          <w:marLeft w:val="274"/>
          <w:marRight w:val="0"/>
          <w:marTop w:val="0"/>
          <w:marBottom w:val="0"/>
          <w:divBdr>
            <w:top w:val="none" w:sz="0" w:space="0" w:color="auto"/>
            <w:left w:val="none" w:sz="0" w:space="0" w:color="auto"/>
            <w:bottom w:val="none" w:sz="0" w:space="0" w:color="auto"/>
            <w:right w:val="none" w:sz="0" w:space="0" w:color="auto"/>
          </w:divBdr>
        </w:div>
        <w:div w:id="261958849">
          <w:marLeft w:val="274"/>
          <w:marRight w:val="0"/>
          <w:marTop w:val="0"/>
          <w:marBottom w:val="0"/>
          <w:divBdr>
            <w:top w:val="none" w:sz="0" w:space="0" w:color="auto"/>
            <w:left w:val="none" w:sz="0" w:space="0" w:color="auto"/>
            <w:bottom w:val="none" w:sz="0" w:space="0" w:color="auto"/>
            <w:right w:val="none" w:sz="0" w:space="0" w:color="auto"/>
          </w:divBdr>
        </w:div>
        <w:div w:id="87238189">
          <w:marLeft w:val="274"/>
          <w:marRight w:val="0"/>
          <w:marTop w:val="0"/>
          <w:marBottom w:val="0"/>
          <w:divBdr>
            <w:top w:val="none" w:sz="0" w:space="0" w:color="auto"/>
            <w:left w:val="none" w:sz="0" w:space="0" w:color="auto"/>
            <w:bottom w:val="none" w:sz="0" w:space="0" w:color="auto"/>
            <w:right w:val="none" w:sz="0" w:space="0" w:color="auto"/>
          </w:divBdr>
        </w:div>
        <w:div w:id="1728911811">
          <w:marLeft w:val="274"/>
          <w:marRight w:val="0"/>
          <w:marTop w:val="0"/>
          <w:marBottom w:val="0"/>
          <w:divBdr>
            <w:top w:val="none" w:sz="0" w:space="0" w:color="auto"/>
            <w:left w:val="none" w:sz="0" w:space="0" w:color="auto"/>
            <w:bottom w:val="none" w:sz="0" w:space="0" w:color="auto"/>
            <w:right w:val="none" w:sz="0" w:space="0" w:color="auto"/>
          </w:divBdr>
        </w:div>
      </w:divsChild>
    </w:div>
    <w:div w:id="1666282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sa/4.0/" TargetMode="External"/><Relationship Id="rId8" Type="http://schemas.openxmlformats.org/officeDocument/2006/relationships/image" Target="media/image1.png"/><Relationship Id="rId9" Type="http://schemas.openxmlformats.org/officeDocument/2006/relationships/hyperlink" Target="http://creativecommons.org/licenses/by-sa/4.0/"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1899</Words>
  <Characters>11970</Characters>
  <Application>Microsoft Macintosh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Kahrmann</dc:creator>
  <cp:keywords/>
  <dc:description/>
  <cp:lastModifiedBy>Tobias Kahrmann</cp:lastModifiedBy>
  <cp:revision>10</cp:revision>
  <cp:lastPrinted>2018-06-12T11:14:00Z</cp:lastPrinted>
  <dcterms:created xsi:type="dcterms:W3CDTF">2018-10-03T15:32:00Z</dcterms:created>
  <dcterms:modified xsi:type="dcterms:W3CDTF">2018-10-15T12:10:00Z</dcterms:modified>
</cp:coreProperties>
</file>