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CD98B" w14:textId="09B1D4F7" w:rsidR="00723862" w:rsidRPr="009C3491" w:rsidRDefault="00C359D3" w:rsidP="00F65F9A">
      <w:pPr>
        <w:spacing w:after="0"/>
        <w:rPr>
          <w:rFonts w:ascii="Nunito Light" w:hAnsi="Nunito Light"/>
          <w:sz w:val="32"/>
          <w:szCs w:val="32"/>
          <w:lang w:val="en-GB"/>
        </w:rPr>
      </w:pPr>
      <w:proofErr w:type="spellStart"/>
      <w:r w:rsidRPr="009C3491">
        <w:rPr>
          <w:rFonts w:ascii="Nunito Light" w:hAnsi="Nunito Light"/>
          <w:sz w:val="32"/>
          <w:szCs w:val="32"/>
          <w:lang w:val="en-GB"/>
        </w:rPr>
        <w:t>EduBox</w:t>
      </w:r>
      <w:proofErr w:type="spellEnd"/>
      <w:r w:rsidRPr="009C3491">
        <w:rPr>
          <w:rFonts w:ascii="Nunito Light" w:hAnsi="Nunito Light"/>
          <w:sz w:val="32"/>
          <w:szCs w:val="32"/>
          <w:lang w:val="en-GB"/>
        </w:rPr>
        <w:t xml:space="preserve"> </w:t>
      </w:r>
      <w:r w:rsidR="00277A31">
        <w:rPr>
          <w:rFonts w:ascii="Nunito Light" w:hAnsi="Nunito Light"/>
          <w:sz w:val="32"/>
          <w:szCs w:val="32"/>
          <w:lang w:val="en-GB"/>
        </w:rPr>
        <w:t>0</w:t>
      </w:r>
      <w:r w:rsidR="00F65F9A" w:rsidRPr="009C3491">
        <w:rPr>
          <w:rFonts w:ascii="Nunito Light" w:hAnsi="Nunito Light"/>
          <w:sz w:val="32"/>
          <w:szCs w:val="32"/>
          <w:lang w:val="en-GB"/>
        </w:rPr>
        <w:t>1: Culture, a new perspective</w:t>
      </w:r>
      <w:r w:rsidR="006B1E75" w:rsidRPr="009C3491">
        <w:rPr>
          <w:rFonts w:ascii="Nunito Light" w:hAnsi="Nunito Light"/>
          <w:sz w:val="32"/>
          <w:szCs w:val="32"/>
          <w:lang w:val="en-GB"/>
        </w:rPr>
        <w:t xml:space="preserve"> </w:t>
      </w:r>
    </w:p>
    <w:p w14:paraId="32B28A61" w14:textId="0643CE04" w:rsidR="0006302A" w:rsidRPr="009C3491" w:rsidRDefault="00C41CD9" w:rsidP="00C41CD9">
      <w:pPr>
        <w:rPr>
          <w:rFonts w:ascii="Nunito Light" w:hAnsi="Nunito Light"/>
          <w:sz w:val="28"/>
          <w:szCs w:val="28"/>
          <w:lang w:val="en-GB"/>
        </w:rPr>
      </w:pPr>
      <w:r w:rsidRPr="009C3491">
        <w:rPr>
          <w:rFonts w:ascii="Nunito Light" w:hAnsi="Nunito Light"/>
          <w:sz w:val="28"/>
          <w:szCs w:val="28"/>
          <w:lang w:val="en-GB"/>
        </w:rPr>
        <w:t xml:space="preserve">Session </w:t>
      </w:r>
      <w:r w:rsidR="00277A31">
        <w:rPr>
          <w:rFonts w:ascii="Nunito Light" w:hAnsi="Nunito Light"/>
          <w:sz w:val="28"/>
          <w:szCs w:val="28"/>
          <w:lang w:val="en-GB"/>
        </w:rPr>
        <w:t>0</w:t>
      </w:r>
      <w:r w:rsidRPr="009C3491">
        <w:rPr>
          <w:rFonts w:ascii="Nunito Light" w:hAnsi="Nunito Light"/>
          <w:sz w:val="28"/>
          <w:szCs w:val="28"/>
          <w:lang w:val="en-GB"/>
        </w:rPr>
        <w:t xml:space="preserve">1: </w:t>
      </w:r>
      <w:r w:rsidR="00F65F9A" w:rsidRPr="009C3491">
        <w:rPr>
          <w:rFonts w:ascii="Nunito Light" w:hAnsi="Nunito Light"/>
          <w:sz w:val="28"/>
          <w:szCs w:val="28"/>
          <w:lang w:val="en-GB"/>
        </w:rPr>
        <w:t>Culture, a critical review</w:t>
      </w:r>
      <w:bookmarkStart w:id="0" w:name="_GoBack"/>
      <w:bookmarkEnd w:id="0"/>
    </w:p>
    <w:p w14:paraId="06737FC3" w14:textId="77777777" w:rsidR="00121784" w:rsidRPr="009C3491" w:rsidRDefault="00AF768A" w:rsidP="00C41CD9">
      <w:pPr>
        <w:rPr>
          <w:rFonts w:ascii="Nunito Light" w:hAnsi="Nunito Light"/>
          <w:sz w:val="28"/>
          <w:szCs w:val="28"/>
          <w:lang w:val="en-GB"/>
        </w:rPr>
      </w:pPr>
      <w:r w:rsidRPr="009C3491">
        <w:rPr>
          <w:rFonts w:ascii="Nunito Light" w:hAnsi="Nunito Light"/>
          <w:sz w:val="28"/>
          <w:szCs w:val="28"/>
          <w:lang w:val="en-GB"/>
        </w:rPr>
        <w:t>Session plan</w:t>
      </w:r>
    </w:p>
    <w:p w14:paraId="17F90B1F" w14:textId="77777777" w:rsidR="00510199" w:rsidRPr="009C3491" w:rsidRDefault="00510199" w:rsidP="00115804">
      <w:pPr>
        <w:spacing w:after="0"/>
        <w:rPr>
          <w:rFonts w:ascii="Nunito Light" w:hAnsi="Nunito Light"/>
          <w:sz w:val="24"/>
          <w:szCs w:val="24"/>
          <w:lang w:val="en-GB"/>
        </w:rPr>
      </w:pPr>
    </w:p>
    <w:tbl>
      <w:tblPr>
        <w:tblStyle w:val="Tabellenraster"/>
        <w:tblW w:w="13718" w:type="dxa"/>
        <w:tblLayout w:type="fixed"/>
        <w:tblLook w:val="04A0" w:firstRow="1" w:lastRow="0" w:firstColumn="1" w:lastColumn="0" w:noHBand="0" w:noVBand="1"/>
      </w:tblPr>
      <w:tblGrid>
        <w:gridCol w:w="2743"/>
        <w:gridCol w:w="2743"/>
        <w:gridCol w:w="2744"/>
        <w:gridCol w:w="5488"/>
      </w:tblGrid>
      <w:tr w:rsidR="00560191" w:rsidRPr="009C3491" w14:paraId="19DDFC3C" w14:textId="77777777" w:rsidTr="00843EA3"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2C6F57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Topics/ Content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83698" w14:textId="5430A958" w:rsidR="00560191" w:rsidRPr="009C3491" w:rsidRDefault="00FF68D5" w:rsidP="00DA0E0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Aims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1344D5" w14:textId="6FF3813B" w:rsidR="00560191" w:rsidRPr="009C3491" w:rsidRDefault="00FF68D5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444A2A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Sources</w:t>
            </w:r>
          </w:p>
        </w:tc>
      </w:tr>
      <w:tr w:rsidR="00560191" w:rsidRPr="009C3491" w14:paraId="6AEA1CF3" w14:textId="77777777" w:rsidTr="00843EA3">
        <w:trPr>
          <w:trHeight w:val="3911"/>
        </w:trPr>
        <w:tc>
          <w:tcPr>
            <w:tcW w:w="2743" w:type="dxa"/>
            <w:shd w:val="clear" w:color="auto" w:fill="FFFFFF" w:themeFill="background1"/>
          </w:tcPr>
          <w:p w14:paraId="747079AF" w14:textId="7FB8B352" w:rsidR="00560191" w:rsidRDefault="00202316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Learning outcome</w:t>
            </w:r>
          </w:p>
          <w:p w14:paraId="7C94B057" w14:textId="77777777" w:rsidR="00955661" w:rsidRDefault="00955661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077C01B4" w14:textId="08A6219E" w:rsidR="00202316" w:rsidRPr="009C3491" w:rsidRDefault="00AE660B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Objectives</w:t>
            </w:r>
          </w:p>
          <w:p w14:paraId="6F3DE593" w14:textId="77777777" w:rsidR="00955661" w:rsidRDefault="00955661" w:rsidP="00202316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3146E2EA" w14:textId="77777777" w:rsidR="00202316" w:rsidRPr="009C3491" w:rsidRDefault="00202316" w:rsidP="00202316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US"/>
              </w:rPr>
              <w:t>Lead-in</w:t>
            </w:r>
          </w:p>
          <w:p w14:paraId="349D2EDD" w14:textId="77777777" w:rsidR="00955661" w:rsidRDefault="00955661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19F92C9B" w14:textId="77777777" w:rsidR="00F65F9A" w:rsidRPr="009C3491" w:rsidRDefault="00F65F9A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US"/>
              </w:rPr>
              <w:t>Culture, a critical review</w:t>
            </w:r>
          </w:p>
          <w:p w14:paraId="0730FDDE" w14:textId="77777777" w:rsidR="00F65F9A" w:rsidRPr="009C3491" w:rsidRDefault="00F65F9A" w:rsidP="0006302A">
            <w:pPr>
              <w:pStyle w:val="Listenabsatz"/>
              <w:numPr>
                <w:ilvl w:val="0"/>
                <w:numId w:val="20"/>
              </w:numPr>
              <w:rPr>
                <w:rFonts w:ascii="Nunito Light" w:hAnsi="Nunito Light"/>
                <w:sz w:val="20"/>
                <w:szCs w:val="20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US"/>
              </w:rPr>
              <w:t>Culture, some definitions</w:t>
            </w:r>
          </w:p>
          <w:p w14:paraId="7D87F307" w14:textId="77777777" w:rsidR="00F65F9A" w:rsidRPr="009C3491" w:rsidRDefault="00F65F9A" w:rsidP="0006302A">
            <w:pPr>
              <w:pStyle w:val="Listenabsatz"/>
              <w:numPr>
                <w:ilvl w:val="0"/>
                <w:numId w:val="20"/>
              </w:numPr>
              <w:rPr>
                <w:rFonts w:ascii="Nunito Light" w:hAnsi="Nunito Light"/>
                <w:sz w:val="20"/>
                <w:szCs w:val="20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US"/>
              </w:rPr>
              <w:t>Components of culture</w:t>
            </w:r>
          </w:p>
          <w:p w14:paraId="63835B63" w14:textId="77777777" w:rsidR="00F65F9A" w:rsidRPr="009C3491" w:rsidRDefault="00F65F9A" w:rsidP="00F65F9A">
            <w:pPr>
              <w:pStyle w:val="Listenabsatz"/>
              <w:numPr>
                <w:ilvl w:val="0"/>
                <w:numId w:val="20"/>
              </w:numPr>
              <w:rPr>
                <w:rFonts w:ascii="Nunito Light" w:hAnsi="Nunito Light"/>
                <w:sz w:val="20"/>
                <w:szCs w:val="20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US"/>
              </w:rPr>
              <w:t>Culture, a critical reflection</w:t>
            </w:r>
          </w:p>
          <w:p w14:paraId="0D1BB4DF" w14:textId="77777777" w:rsidR="00955661" w:rsidRDefault="00955661" w:rsidP="00F65F9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1357618F" w14:textId="6A382AE5" w:rsidR="00560191" w:rsidRPr="009C3491" w:rsidRDefault="00202316" w:rsidP="00F65F9A">
            <w:pPr>
              <w:rPr>
                <w:rFonts w:ascii="Nunito Light" w:hAnsi="Nunito Light"/>
                <w:sz w:val="20"/>
                <w:szCs w:val="20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Summary and reflection</w:t>
            </w:r>
          </w:p>
          <w:p w14:paraId="7AF687A7" w14:textId="77777777" w:rsidR="00955661" w:rsidRDefault="00955661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1A4674E8" w14:textId="31278A66" w:rsidR="00560191" w:rsidRPr="009C3491" w:rsidRDefault="00B451F1" w:rsidP="0006302A">
            <w:pPr>
              <w:rPr>
                <w:rFonts w:ascii="Nunito Light" w:hAnsi="Nunito Light"/>
                <w:sz w:val="20"/>
                <w:szCs w:val="20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Home A</w:t>
            </w:r>
            <w:r w:rsidR="00202316">
              <w:rPr>
                <w:rFonts w:ascii="Nunito Light" w:hAnsi="Nunito Light"/>
                <w:sz w:val="20"/>
                <w:szCs w:val="20"/>
                <w:lang w:val="en-US"/>
              </w:rPr>
              <w:t>ssignment</w:t>
            </w:r>
          </w:p>
          <w:p w14:paraId="5EBF1E28" w14:textId="77777777" w:rsidR="00955661" w:rsidRDefault="00955661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1BFFA679" w14:textId="77777777" w:rsidR="00560191" w:rsidRPr="009C3491" w:rsidRDefault="00560191" w:rsidP="0006302A">
            <w:pPr>
              <w:rPr>
                <w:rFonts w:ascii="Nunito Light" w:hAnsi="Nunito Light"/>
                <w:sz w:val="20"/>
                <w:szCs w:val="20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US"/>
              </w:rPr>
              <w:t>Sources</w:t>
            </w:r>
          </w:p>
          <w:p w14:paraId="39A240A8" w14:textId="2DAE52D7" w:rsidR="00766C41" w:rsidRDefault="00766C41" w:rsidP="007E30BB">
            <w:pPr>
              <w:pStyle w:val="Listenabsatz"/>
              <w:ind w:left="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4C74B834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7FE407ED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2B84CEB9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13ACD222" w14:textId="20FB4934" w:rsidR="00766C41" w:rsidRDefault="00766C41" w:rsidP="00766C41">
            <w:pPr>
              <w:rPr>
                <w:lang w:val="en-GB"/>
              </w:rPr>
            </w:pPr>
          </w:p>
          <w:p w14:paraId="105A82A9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633419FE" w14:textId="7B5359AB" w:rsidR="00766C41" w:rsidRDefault="00766C41" w:rsidP="00766C41">
            <w:pPr>
              <w:rPr>
                <w:lang w:val="en-GB"/>
              </w:rPr>
            </w:pPr>
          </w:p>
          <w:p w14:paraId="47A3F1E0" w14:textId="77777777" w:rsidR="00560191" w:rsidRPr="00766C41" w:rsidRDefault="00560191" w:rsidP="00766C41">
            <w:pPr>
              <w:rPr>
                <w:lang w:val="en-GB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14:paraId="3E72802D" w14:textId="1875EB1B" w:rsidR="00ED32C7" w:rsidRDefault="00560191" w:rsidP="0006302A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lastRenderedPageBreak/>
              <w:t xml:space="preserve">The general aim of this session is to sensitise and raise awareness </w:t>
            </w:r>
            <w:r w:rsidR="00843EA3">
              <w:rPr>
                <w:rFonts w:ascii="Nunito Light" w:hAnsi="Nunito Light"/>
                <w:sz w:val="20"/>
                <w:szCs w:val="20"/>
                <w:lang w:val="en-GB"/>
              </w:rPr>
              <w:t>regarding</w:t>
            </w:r>
            <w:r w:rsidR="00693951"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 the need to critically review our common understanding of culture and to introduce an open definition of culture</w:t>
            </w:r>
            <w:r w:rsidR="00ED32C7">
              <w:rPr>
                <w:rFonts w:ascii="Nunito Light" w:hAnsi="Nunito Light"/>
                <w:sz w:val="20"/>
                <w:szCs w:val="20"/>
                <w:lang w:val="en-GB"/>
              </w:rPr>
              <w:t>.</w:t>
            </w:r>
          </w:p>
          <w:p w14:paraId="20973890" w14:textId="699CC65B" w:rsidR="00560191" w:rsidRPr="009C3491" w:rsidRDefault="00693951" w:rsidP="0006302A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</w:p>
          <w:p w14:paraId="3768D0D7" w14:textId="069B512D" w:rsidR="00ED32C7" w:rsidRPr="009C3491" w:rsidRDefault="00ED32C7" w:rsidP="00ED32C7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At t</w:t>
            </w:r>
            <w:r w:rsidR="00843EA3">
              <w:rPr>
                <w:rFonts w:ascii="Nunito Light" w:hAnsi="Nunito Light"/>
                <w:sz w:val="20"/>
                <w:szCs w:val="20"/>
                <w:lang w:val="en-GB"/>
              </w:rPr>
              <w:t>he end of the sessions, student</w:t>
            </w: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s will </w:t>
            </w:r>
          </w:p>
          <w:p w14:paraId="4B209907" w14:textId="77777777" w:rsidR="00ED32C7" w:rsidRPr="009C3491" w:rsidRDefault="00ED32C7" w:rsidP="00ED32C7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US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have critically reviewed definitions of culture and their elements</w:t>
            </w:r>
          </w:p>
          <w:p w14:paraId="3C9B81FA" w14:textId="5EFAD79A" w:rsidR="00ED32C7" w:rsidRPr="009C3491" w:rsidRDefault="00843EA3" w:rsidP="00ED32C7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b</w:t>
            </w:r>
            <w:r w:rsidR="00ED32C7" w:rsidRPr="009C3491">
              <w:rPr>
                <w:rFonts w:ascii="Nunito Light" w:hAnsi="Nunito Light"/>
                <w:sz w:val="20"/>
                <w:szCs w:val="20"/>
                <w:lang w:val="en-GB"/>
              </w:rPr>
              <w:t>e able to show the limitations of a national approach to culture</w:t>
            </w:r>
          </w:p>
          <w:p w14:paraId="6461A362" w14:textId="582E2029" w:rsidR="00560191" w:rsidRPr="00FF68D5" w:rsidRDefault="00955661" w:rsidP="00FF68D5">
            <w:pPr>
              <w:pStyle w:val="Listenabsatz"/>
              <w:numPr>
                <w:ilvl w:val="0"/>
                <w:numId w:val="21"/>
              </w:numPr>
              <w:rPr>
                <w:rFonts w:ascii="Nunito Light" w:hAnsi="Nunito Light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Nunito Light" w:hAnsi="Nunito Light"/>
                <w:sz w:val="20"/>
                <w:szCs w:val="20"/>
                <w:lang w:val="en-GB"/>
              </w:rPr>
              <w:t>be</w:t>
            </w:r>
            <w:proofErr w:type="gramEnd"/>
            <w:r>
              <w:rPr>
                <w:rFonts w:ascii="Nunito Light" w:hAnsi="Nunito Light"/>
                <w:sz w:val="20"/>
                <w:szCs w:val="20"/>
                <w:lang w:val="en-GB"/>
              </w:rPr>
              <w:t xml:space="preserve"> able to argue </w:t>
            </w:r>
            <w:r w:rsidR="00ED32C7" w:rsidRPr="00FF68D5">
              <w:rPr>
                <w:rFonts w:ascii="Nunito Light" w:hAnsi="Nunito Light"/>
                <w:sz w:val="20"/>
                <w:szCs w:val="20"/>
                <w:lang w:val="en-GB"/>
              </w:rPr>
              <w:t xml:space="preserve">why an open definition of culture based on the understanding </w:t>
            </w:r>
            <w:r w:rsidR="00ED32C7" w:rsidRPr="00FF68D5">
              <w:rPr>
                <w:rFonts w:ascii="Nunito Light" w:hAnsi="Nunito Light"/>
                <w:sz w:val="20"/>
                <w:szCs w:val="20"/>
                <w:lang w:val="en-GB"/>
              </w:rPr>
              <w:lastRenderedPageBreak/>
              <w:t>of multi-collectivity is better able to capture the multi-faceted nature of culture.</w:t>
            </w:r>
          </w:p>
        </w:tc>
        <w:tc>
          <w:tcPr>
            <w:tcW w:w="2744" w:type="dxa"/>
            <w:shd w:val="clear" w:color="auto" w:fill="FFFFFF" w:themeFill="background1"/>
          </w:tcPr>
          <w:p w14:paraId="758DC685" w14:textId="4BA518F1" w:rsidR="00560191" w:rsidRPr="00ED32C7" w:rsidRDefault="00EC0346" w:rsidP="00202316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US"/>
              </w:rPr>
            </w:pPr>
            <w:r w:rsidRPr="00ED32C7">
              <w:rPr>
                <w:rFonts w:ascii="Nunito Light" w:hAnsi="Nunito Light"/>
                <w:sz w:val="20"/>
                <w:szCs w:val="20"/>
                <w:lang w:val="en-GB"/>
              </w:rPr>
              <w:lastRenderedPageBreak/>
              <w:t>Students di</w:t>
            </w:r>
            <w:r w:rsidR="00202316">
              <w:rPr>
                <w:rFonts w:ascii="Nunito Light" w:hAnsi="Nunito Light"/>
                <w:sz w:val="20"/>
                <w:szCs w:val="20"/>
                <w:lang w:val="en-GB"/>
              </w:rPr>
              <w:t xml:space="preserve">fferentiate </w:t>
            </w:r>
            <w:r w:rsidRPr="00ED32C7">
              <w:rPr>
                <w:rFonts w:ascii="Nunito Light" w:hAnsi="Nunito Light"/>
                <w:sz w:val="20"/>
                <w:szCs w:val="20"/>
                <w:lang w:val="en-GB"/>
              </w:rPr>
              <w:t xml:space="preserve">between an open and a closed definition of </w:t>
            </w:r>
            <w:r w:rsidR="00FF68D5">
              <w:rPr>
                <w:rFonts w:ascii="Nunito Light" w:hAnsi="Nunito Light"/>
                <w:sz w:val="20"/>
                <w:szCs w:val="20"/>
                <w:lang w:val="en-GB"/>
              </w:rPr>
              <w:t>culture</w:t>
            </w:r>
            <w:r w:rsidR="00202316">
              <w:rPr>
                <w:rFonts w:ascii="Nunito Light" w:hAnsi="Nunito Light"/>
                <w:sz w:val="20"/>
                <w:szCs w:val="20"/>
                <w:lang w:val="en-GB"/>
              </w:rPr>
              <w:t xml:space="preserve"> and recognise cultural features from the perspective of an open definition of culture</w:t>
            </w:r>
          </w:p>
        </w:tc>
        <w:tc>
          <w:tcPr>
            <w:tcW w:w="5488" w:type="dxa"/>
            <w:shd w:val="clear" w:color="auto" w:fill="FFFFFF" w:themeFill="background1"/>
          </w:tcPr>
          <w:p w14:paraId="5B05CA62" w14:textId="77777777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r w:rsidRPr="00AE660B">
              <w:rPr>
                <w:rFonts w:ascii="Nunito Light" w:hAnsi="Nunito Light"/>
                <w:sz w:val="20"/>
                <w:szCs w:val="20"/>
              </w:rPr>
              <w:t xml:space="preserve">Bolten, Jürgen 2007. Einführung in die Interkulturelle Wirtschaftskommunikation. </w:t>
            </w:r>
            <w:proofErr w:type="spellStart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Göttingen</w:t>
            </w:r>
            <w:proofErr w:type="spellEnd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Vandehoeck</w:t>
            </w:r>
            <w:proofErr w:type="spellEnd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Ruprecht</w:t>
            </w:r>
            <w:proofErr w:type="spellEnd"/>
          </w:p>
          <w:p w14:paraId="08320B5D" w14:textId="77777777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r w:rsidRPr="00AE660B">
              <w:rPr>
                <w:rFonts w:ascii="Nunito Light" w:hAnsi="Nunito Light"/>
                <w:sz w:val="20"/>
                <w:szCs w:val="20"/>
              </w:rPr>
              <w:t xml:space="preserve">Bolten, Jürgen 2011. Unscharfe und Mehrwertigkeit: “Interkulturelle Kompetenz” vor dem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Hintegrund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 eines offenen Kulturbegriffs. In: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Hoessler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, U. &amp; W. Dreyer (Eds.) Perspektiven interkultureller Kompetenz. Göttingen: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Vandenhoeck&amp;Ruprecht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>; pp. 55-71</w:t>
            </w:r>
          </w:p>
          <w:p w14:paraId="02EAA8A2" w14:textId="77777777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r w:rsidRPr="00AE660B">
              <w:rPr>
                <w:rFonts w:ascii="Nunito Light" w:hAnsi="Nunito Light"/>
                <w:sz w:val="20"/>
                <w:szCs w:val="20"/>
              </w:rPr>
              <w:t xml:space="preserve">Bolten, Jürgen 2013.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Fuzzy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Cultures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: Konsequenzen eines offenen und mehrwertigen Kulturbegriffs für Konzeptualisierung interkultureller Personalentwicklungsmaßnahmen. In: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Mondial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: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Sietar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 Journal für interkulturelle Perspektiven; 4-10. </w:t>
            </w:r>
            <w:hyperlink r:id="rId7" w:history="1">
              <w:r w:rsidRPr="00AE660B">
                <w:rPr>
                  <w:rStyle w:val="Hyperlink"/>
                  <w:rFonts w:ascii="Nunito Light" w:hAnsi="Nunito Light"/>
                  <w:sz w:val="20"/>
                  <w:szCs w:val="20"/>
                </w:rPr>
                <w:t>http://</w:t>
              </w:r>
            </w:hyperlink>
            <w:hyperlink r:id="rId8" w:history="1">
              <w:r w:rsidRPr="00AE660B">
                <w:rPr>
                  <w:rStyle w:val="Hyperlink"/>
                  <w:rFonts w:ascii="Nunito Light" w:hAnsi="Nunito Light"/>
                  <w:sz w:val="20"/>
                  <w:szCs w:val="20"/>
                </w:rPr>
                <w:t>www2.uni-jena.de/philosophie/IWK-neu/typo3/fileadmin/publicationen/Bolten_2013_Fuzzy_Cultures.pdf</w:t>
              </w:r>
            </w:hyperlink>
            <w:r w:rsidRPr="00AE660B">
              <w:rPr>
                <w:rFonts w:ascii="Nunito Light" w:hAnsi="Nunito Light"/>
                <w:sz w:val="20"/>
                <w:szCs w:val="20"/>
              </w:rPr>
              <w:t xml:space="preserve"> (14.3.2017)</w:t>
            </w:r>
          </w:p>
          <w:p w14:paraId="7F540B04" w14:textId="17BAA2E1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r w:rsidRPr="00AE660B">
              <w:rPr>
                <w:rFonts w:ascii="Nunito Light" w:hAnsi="Nunito Light"/>
                <w:sz w:val="20"/>
                <w:szCs w:val="20"/>
              </w:rPr>
              <w:t xml:space="preserve">Bolten, Jürgen 2015. Einführung in die Interkulturelle Wirtschaftskommunikation. </w:t>
            </w:r>
            <w:proofErr w:type="spellStart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Göttingen</w:t>
            </w:r>
            <w:proofErr w:type="spellEnd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Vandenhoeck&amp;Ruprecht</w:t>
            </w:r>
            <w:proofErr w:type="spellEnd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 (2</w:t>
            </w:r>
            <w:r w:rsidRPr="009C3491">
              <w:rPr>
                <w:rFonts w:ascii="Nunito Light" w:hAnsi="Nunito Light"/>
                <w:sz w:val="20"/>
                <w:szCs w:val="20"/>
                <w:vertAlign w:val="superscript"/>
                <w:lang w:val="en-GB"/>
              </w:rPr>
              <w:t>nd</w:t>
            </w: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ed</w:t>
            </w:r>
            <w:proofErr w:type="gramEnd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.)</w:t>
            </w:r>
          </w:p>
          <w:p w14:paraId="56379330" w14:textId="420C0127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r w:rsidRPr="00AE660B">
              <w:rPr>
                <w:rFonts w:ascii="Nunito Light" w:hAnsi="Nunito Light"/>
                <w:sz w:val="20"/>
                <w:szCs w:val="20"/>
              </w:rPr>
              <w:t xml:space="preserve">Bolten, Jürgen 2016. Interkulturelle Trainings neu denken. In:  </w:t>
            </w:r>
            <w:proofErr w:type="spellStart"/>
            <w:r w:rsidRPr="00447524">
              <w:rPr>
                <w:rFonts w:ascii="Nunito Light" w:hAnsi="Nunito Light"/>
                <w:i/>
                <w:sz w:val="20"/>
                <w:szCs w:val="20"/>
              </w:rPr>
              <w:lastRenderedPageBreak/>
              <w:t>interculture</w:t>
            </w:r>
            <w:proofErr w:type="spellEnd"/>
            <w:r w:rsidR="00447524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journal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 Special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issue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 “(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Inter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>)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Kulturalität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 neu denken! 15 (26) p. 75-92 </w:t>
            </w:r>
            <w:hyperlink r:id="rId9" w:history="1">
              <w:r w:rsidRPr="00AE660B">
                <w:rPr>
                  <w:rStyle w:val="Hyperlink"/>
                  <w:rFonts w:ascii="Nunito Light" w:hAnsi="Nunito Light"/>
                  <w:sz w:val="20"/>
                  <w:szCs w:val="20"/>
                </w:rPr>
                <w:t>http://www.interculture-journal.com/index.php/icj/issue/viewIssue/37/9</w:t>
              </w:r>
            </w:hyperlink>
          </w:p>
          <w:p w14:paraId="2D167739" w14:textId="77777777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r w:rsidRPr="00AE660B">
              <w:rPr>
                <w:rFonts w:ascii="Nunito Light" w:hAnsi="Nunito Light"/>
                <w:sz w:val="20"/>
                <w:szCs w:val="20"/>
              </w:rPr>
              <w:t xml:space="preserve">Bolten, Jürgen 2016a. “Interkulturelle Kompetenz neu denken?!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Forthcoming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 in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Polylog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, Sonderheft ‘Interkulturelle Kompetenz in der Kritik. Wien. </w:t>
            </w:r>
            <w:hyperlink r:id="rId10" w:history="1">
              <w:r w:rsidRPr="00AE660B">
                <w:rPr>
                  <w:rStyle w:val="Hyperlink"/>
                  <w:rFonts w:ascii="Nunito Light" w:hAnsi="Nunito Light"/>
                  <w:sz w:val="20"/>
                  <w:szCs w:val="20"/>
                </w:rPr>
                <w:t>http://www2.uni-jena.de/philosophie/IWK-neu/typo3/fileadmin/team/juergen.bolten/1608Ik_Kompetenz_neu_denken_-_</w:t>
              </w:r>
            </w:hyperlink>
            <w:hyperlink r:id="rId11" w:history="1">
              <w:r w:rsidRPr="00AE660B">
                <w:rPr>
                  <w:rStyle w:val="Hyperlink"/>
                  <w:rFonts w:ascii="Nunito Light" w:hAnsi="Nunito Light"/>
                  <w:sz w:val="20"/>
                  <w:szCs w:val="20"/>
                </w:rPr>
                <w:t>Polylog.pdf</w:t>
              </w:r>
            </w:hyperlink>
            <w:r w:rsidRPr="00AE660B">
              <w:rPr>
                <w:rFonts w:ascii="Nunito Light" w:hAnsi="Nunito Light"/>
                <w:sz w:val="20"/>
                <w:szCs w:val="20"/>
              </w:rPr>
              <w:t xml:space="preserve"> </w:t>
            </w:r>
          </w:p>
          <w:p w14:paraId="51E896EE" w14:textId="77777777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Brewer, Paul &amp; Sunil </w:t>
            </w:r>
            <w:proofErr w:type="spellStart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Venaik</w:t>
            </w:r>
            <w:proofErr w:type="spellEnd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 2013. On the misuse of national cultural dimensions. In: International marketing Review, 29( 6): 673-683</w:t>
            </w:r>
          </w:p>
          <w:p w14:paraId="62F2FE67" w14:textId="77777777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r w:rsidRPr="00AE660B">
              <w:rPr>
                <w:rFonts w:ascii="Nunito Light" w:hAnsi="Nunito Light"/>
                <w:sz w:val="20"/>
                <w:szCs w:val="20"/>
              </w:rPr>
              <w:t xml:space="preserve">Hansen, Klaus P. 2009. Kultur, Kollektivität, Nation. </w:t>
            </w: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Passau: Stutz</w:t>
            </w:r>
          </w:p>
          <w:p w14:paraId="4179B204" w14:textId="06E7E7BC" w:rsidR="009C31EF" w:rsidRPr="00542435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proofErr w:type="spellStart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Meyerson</w:t>
            </w:r>
            <w:proofErr w:type="spellEnd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, D. (1991) Acknowledging and uncovering ambiguities in cultures, In: P. Frost et al. (Eds.) R</w:t>
            </w:r>
            <w:r w:rsidR="00277A31">
              <w:rPr>
                <w:rFonts w:ascii="Nunito Light" w:hAnsi="Nunito Light"/>
                <w:sz w:val="20"/>
                <w:szCs w:val="20"/>
                <w:lang w:val="en-GB"/>
              </w:rPr>
              <w:t xml:space="preserve">eframing Organizational Culture. </w:t>
            </w: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Newbury Park, CA: Sage</w:t>
            </w:r>
            <w:r w:rsidR="00277A31">
              <w:rPr>
                <w:rFonts w:ascii="Nunito Light" w:hAnsi="Nunito Light"/>
                <w:sz w:val="20"/>
                <w:szCs w:val="20"/>
                <w:lang w:val="en-GB"/>
              </w:rPr>
              <w:t>;</w:t>
            </w:r>
            <w:r w:rsidR="00277A31"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r w:rsidR="00277A31">
              <w:rPr>
                <w:rFonts w:ascii="Nunito Light" w:hAnsi="Nunito Light"/>
                <w:sz w:val="20"/>
                <w:szCs w:val="20"/>
                <w:lang w:val="en-GB"/>
              </w:rPr>
              <w:t xml:space="preserve">pp. </w:t>
            </w:r>
            <w:r w:rsidR="00277A31" w:rsidRPr="009C3491">
              <w:rPr>
                <w:rFonts w:ascii="Nunito Light" w:hAnsi="Nunito Light"/>
                <w:sz w:val="20"/>
                <w:szCs w:val="20"/>
                <w:lang w:val="en-GB"/>
              </w:rPr>
              <w:t>254-70</w:t>
            </w:r>
          </w:p>
          <w:p w14:paraId="625CE78E" w14:textId="77777777" w:rsidR="00776DE9" w:rsidRPr="00542435" w:rsidRDefault="00671778" w:rsidP="00542435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542435">
              <w:rPr>
                <w:rFonts w:ascii="Nunito Light" w:hAnsi="Nunito Light"/>
                <w:sz w:val="20"/>
                <w:szCs w:val="20"/>
                <w:lang w:val="en-GB"/>
              </w:rPr>
              <w:t>Steers, R. M. et al. 2013. Managing across cultures – Developing global competencies. Cambridge: Cambridge University Press</w:t>
            </w:r>
          </w:p>
          <w:p w14:paraId="2032B2F3" w14:textId="77777777" w:rsidR="00447524" w:rsidRPr="00447524" w:rsidRDefault="00542435" w:rsidP="00FA056C">
            <w:pPr>
              <w:numPr>
                <w:ilvl w:val="0"/>
                <w:numId w:val="30"/>
              </w:numPr>
              <w:spacing w:after="200" w:line="276" w:lineRule="auto"/>
              <w:rPr>
                <w:rFonts w:ascii="Nunito Light" w:hAnsi="Nunito Light"/>
                <w:sz w:val="20"/>
                <w:szCs w:val="20"/>
              </w:rPr>
            </w:pPr>
            <w:r w:rsidRPr="00447524">
              <w:rPr>
                <w:rFonts w:ascii="Nunito Light" w:hAnsi="Nunito Light"/>
                <w:sz w:val="20"/>
                <w:szCs w:val="20"/>
                <w:lang w:val="en-GB"/>
              </w:rPr>
              <w:t>Sweeney, Brendan 2002. Hofstede’s Model of national cultural differences and their consequences: A triumph of faith-a failure of analysis. 55(1):89-118</w:t>
            </w:r>
          </w:p>
          <w:p w14:paraId="74AF248F" w14:textId="5407E7D2" w:rsidR="009C31EF" w:rsidRPr="00447524" w:rsidRDefault="002306B9" w:rsidP="00FA056C">
            <w:pPr>
              <w:numPr>
                <w:ilvl w:val="0"/>
                <w:numId w:val="30"/>
              </w:numPr>
              <w:spacing w:after="200" w:line="276" w:lineRule="auto"/>
              <w:rPr>
                <w:rFonts w:ascii="Nunito Light" w:hAnsi="Nunito Light"/>
                <w:sz w:val="20"/>
                <w:szCs w:val="20"/>
              </w:rPr>
            </w:pPr>
            <w:r w:rsidRPr="00447524">
              <w:rPr>
                <w:rFonts w:ascii="Nunito Light" w:hAnsi="Nunito Light"/>
                <w:sz w:val="20"/>
                <w:szCs w:val="20"/>
                <w:lang w:val="en-GB"/>
              </w:rPr>
              <w:t>Tietmeyer, Elisabeth 2011. Cultural Contacts and Localization in Europe-</w:t>
            </w:r>
            <w:r w:rsidRPr="00447524">
              <w:rPr>
                <w:rFonts w:ascii="Nunito Light" w:hAnsi="Nunito Light"/>
                <w:sz w:val="20"/>
                <w:szCs w:val="20"/>
                <w:lang w:val="en-GB"/>
              </w:rPr>
              <w:lastRenderedPageBreak/>
              <w:t>from the Collections of the Museum of European Cultures. Berlin: National Museums in Berlin</w:t>
            </w:r>
          </w:p>
          <w:p w14:paraId="7E1A6B5F" w14:textId="77777777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proofErr w:type="spellStart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Tsui</w:t>
            </w:r>
            <w:proofErr w:type="spellEnd"/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>, A. et al. 2007. ‘Cross-national, cross-cultural organizational behaviour research: advances, gaps, and recommendations’. In: Journal of Management, 33(3): 426-78</w:t>
            </w:r>
          </w:p>
          <w:p w14:paraId="56960B3B" w14:textId="61951C31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Witchalls, Peter James. 2012 Is national culture still relevant? In: </w:t>
            </w:r>
            <w:proofErr w:type="spellStart"/>
            <w:r w:rsidRPr="00447524">
              <w:rPr>
                <w:rFonts w:ascii="Nunito Light" w:hAnsi="Nunito Light"/>
                <w:i/>
                <w:sz w:val="20"/>
                <w:szCs w:val="20"/>
                <w:lang w:val="en-GB"/>
              </w:rPr>
              <w:t>interculture</w:t>
            </w:r>
            <w:proofErr w:type="spellEnd"/>
            <w:r w:rsidR="00447524">
              <w:rPr>
                <w:rFonts w:ascii="Nunito Light" w:hAnsi="Nunito Light"/>
                <w:i/>
                <w:sz w:val="20"/>
                <w:szCs w:val="20"/>
                <w:lang w:val="en-GB"/>
              </w:rPr>
              <w:t xml:space="preserve"> </w:t>
            </w:r>
            <w:r w:rsidR="00447524">
              <w:rPr>
                <w:rFonts w:ascii="Nunito Light" w:hAnsi="Nunito Light"/>
                <w:sz w:val="20"/>
                <w:szCs w:val="20"/>
                <w:lang w:val="en-GB"/>
              </w:rPr>
              <w:t>j</w:t>
            </w:r>
            <w:r w:rsidRPr="009C3491">
              <w:rPr>
                <w:rFonts w:ascii="Nunito Light" w:hAnsi="Nunito Light"/>
                <w:sz w:val="20"/>
                <w:szCs w:val="20"/>
                <w:lang w:val="en-GB"/>
              </w:rPr>
              <w:t xml:space="preserve">ournal 11 (19): 11-18 </w:t>
            </w:r>
            <w:hyperlink r:id="rId12" w:history="1">
              <w:r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GB"/>
                </w:rPr>
                <w:t>http://www.interculture-journal.com/index.php/icj/article/viewFile/178/280</w:t>
              </w:r>
            </w:hyperlink>
          </w:p>
          <w:p w14:paraId="5539A9AE" w14:textId="30677AA3" w:rsidR="009C31EF" w:rsidRPr="009C3491" w:rsidRDefault="002306B9" w:rsidP="00C600F4">
            <w:pPr>
              <w:numPr>
                <w:ilvl w:val="0"/>
                <w:numId w:val="30"/>
              </w:numPr>
              <w:rPr>
                <w:rFonts w:ascii="Nunito Light" w:hAnsi="Nunito Light"/>
                <w:sz w:val="20"/>
                <w:szCs w:val="20"/>
              </w:rPr>
            </w:pP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Zeutschel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, Ulrich 2016. “Zoomen” zum Entdecken interkultureller Verständigungspotenziale und -ressourcen In: </w:t>
            </w:r>
            <w:proofErr w:type="spellStart"/>
            <w:r w:rsidRPr="00447524">
              <w:rPr>
                <w:rFonts w:ascii="Nunito Light" w:hAnsi="Nunito Light"/>
                <w:i/>
                <w:sz w:val="20"/>
                <w:szCs w:val="20"/>
              </w:rPr>
              <w:t>interculture</w:t>
            </w:r>
            <w:proofErr w:type="spellEnd"/>
            <w:r w:rsidR="00447524">
              <w:rPr>
                <w:rFonts w:ascii="Nunito Light" w:hAnsi="Nunito Light"/>
                <w:i/>
                <w:sz w:val="20"/>
                <w:szCs w:val="20"/>
              </w:rPr>
              <w:t xml:space="preserve"> </w:t>
            </w:r>
            <w:proofErr w:type="spellStart"/>
            <w:r w:rsidRPr="00AE660B">
              <w:rPr>
                <w:rFonts w:ascii="Nunito Light" w:hAnsi="Nunito Light"/>
                <w:sz w:val="20"/>
                <w:szCs w:val="20"/>
              </w:rPr>
              <w:t>journal</w:t>
            </w:r>
            <w:proofErr w:type="spellEnd"/>
            <w:r w:rsidRPr="00AE660B">
              <w:rPr>
                <w:rFonts w:ascii="Nunito Light" w:hAnsi="Nunito Light"/>
                <w:sz w:val="20"/>
                <w:szCs w:val="20"/>
              </w:rPr>
              <w:t xml:space="preserve"> 15(26) p. 92-96 </w:t>
            </w:r>
            <w:hyperlink r:id="rId13" w:history="1">
              <w:r w:rsidRPr="00AE660B">
                <w:rPr>
                  <w:rStyle w:val="Hyperlink"/>
                  <w:rFonts w:ascii="Nunito Light" w:hAnsi="Nunito Light"/>
                  <w:sz w:val="20"/>
                  <w:szCs w:val="20"/>
                </w:rPr>
                <w:t>http</w:t>
              </w:r>
            </w:hyperlink>
            <w:hyperlink r:id="rId14" w:history="1">
              <w:r w:rsidRPr="00AE660B">
                <w:rPr>
                  <w:rStyle w:val="Hyperlink"/>
                  <w:rFonts w:ascii="Nunito Light" w:hAnsi="Nunito Light"/>
                  <w:sz w:val="20"/>
                  <w:szCs w:val="20"/>
                </w:rPr>
                <w:t>://</w:t>
              </w:r>
            </w:hyperlink>
            <w:hyperlink r:id="rId15" w:history="1">
              <w:r w:rsidRPr="00AE660B">
                <w:rPr>
                  <w:rStyle w:val="Hyperlink"/>
                  <w:rFonts w:ascii="Nunito Light" w:hAnsi="Nunito Light"/>
                  <w:sz w:val="20"/>
                  <w:szCs w:val="20"/>
                </w:rPr>
                <w:t>www.interculture-journal.com/index.php/icj/issue/viewIssue/37/9</w:t>
              </w:r>
            </w:hyperlink>
          </w:p>
          <w:p w14:paraId="202F4A7C" w14:textId="77777777" w:rsidR="00C600F4" w:rsidRPr="00AE660B" w:rsidRDefault="00C600F4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  <w:p w14:paraId="51493B75" w14:textId="4A7BD89A" w:rsidR="009C31EF" w:rsidRDefault="00955661" w:rsidP="00C600F4">
            <w:pPr>
              <w:ind w:left="360"/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Except where otherwise stat</w:t>
            </w:r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ed, content in this presentation / on this site is licensed under a </w:t>
            </w:r>
            <w:hyperlink r:id="rId16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Creative Commons Attribution </w:t>
              </w:r>
            </w:hyperlink>
            <w:hyperlink r:id="rId17" w:history="1">
              <w:proofErr w:type="spellStart"/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>ShareAlike</w:t>
              </w:r>
              <w:proofErr w:type="spellEnd"/>
            </w:hyperlink>
            <w:hyperlink r:id="rId18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 4.0 International license</w:t>
              </w:r>
            </w:hyperlink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. </w:t>
            </w:r>
          </w:p>
          <w:p w14:paraId="017ACB21" w14:textId="77777777" w:rsidR="00697A7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5ECF5960" w14:textId="77777777" w:rsidR="00697A71" w:rsidRPr="009C349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  <w:r>
              <w:rPr>
                <w:rFonts w:ascii="Nunito Light" w:hAnsi="Nunito Ligh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D4B568A" wp14:editId="7E43D926">
                  <wp:extent cx="767929" cy="269093"/>
                  <wp:effectExtent l="0" t="0" r="0" b="10795"/>
                  <wp:docPr id="1" name="Bild 1" descr="../../../../../Design%20Grafik%20Logos%20Web/CC%20Icons/cc-icons-png/by-sa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ign%20Grafik%20Logos%20Web/CC%20Icons/cc-icons-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32" cy="28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48E0B" w14:textId="77777777" w:rsidR="00560191" w:rsidRPr="009C3491" w:rsidRDefault="0056019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</w:tc>
      </w:tr>
    </w:tbl>
    <w:p w14:paraId="32659821" w14:textId="49AC267F" w:rsidR="00567F9A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p w14:paraId="1FE470A6" w14:textId="77777777" w:rsidR="00542435" w:rsidRDefault="00542435" w:rsidP="00115804">
      <w:pPr>
        <w:spacing w:after="0"/>
        <w:rPr>
          <w:rFonts w:ascii="Nunito Light" w:hAnsi="Nunito Light"/>
          <w:sz w:val="24"/>
          <w:szCs w:val="24"/>
        </w:rPr>
      </w:pPr>
    </w:p>
    <w:p w14:paraId="19C256E4" w14:textId="77777777" w:rsidR="00542435" w:rsidRPr="009C3491" w:rsidRDefault="00542435" w:rsidP="00115804">
      <w:pPr>
        <w:spacing w:after="0"/>
        <w:rPr>
          <w:rFonts w:ascii="Nunito Light" w:hAnsi="Nunito Light"/>
          <w:sz w:val="24"/>
          <w:szCs w:val="24"/>
        </w:rPr>
      </w:pPr>
    </w:p>
    <w:p w14:paraId="7E89FB95" w14:textId="77777777" w:rsidR="00567F9A" w:rsidRPr="009C3491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80"/>
        <w:gridCol w:w="2148"/>
        <w:gridCol w:w="9349"/>
      </w:tblGrid>
      <w:tr w:rsidR="00064A62" w:rsidRPr="009C3491" w14:paraId="61EF302F" w14:textId="77777777" w:rsidTr="00542435">
        <w:tc>
          <w:tcPr>
            <w:tcW w:w="2780" w:type="dxa"/>
            <w:shd w:val="clear" w:color="auto" w:fill="BFBFBF" w:themeFill="background1" w:themeFillShade="BF"/>
          </w:tcPr>
          <w:p w14:paraId="0E857BEB" w14:textId="77777777" w:rsidR="00064A62" w:rsidRPr="009C3491" w:rsidRDefault="00216DEF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 xml:space="preserve">Slide </w:t>
            </w:r>
            <w:r w:rsidR="008127B0" w:rsidRPr="009C3491">
              <w:rPr>
                <w:rFonts w:ascii="Nunito Light" w:hAnsi="Nunito Light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148" w:type="dxa"/>
            <w:shd w:val="clear" w:color="auto" w:fill="BFBFBF" w:themeFill="background1" w:themeFillShade="BF"/>
          </w:tcPr>
          <w:p w14:paraId="31EF925B" w14:textId="77777777" w:rsidR="00064A62" w:rsidRPr="009C3491" w:rsidRDefault="00510199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Method</w:t>
            </w:r>
            <w:r w:rsidR="00336592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and time frame</w:t>
            </w:r>
          </w:p>
        </w:tc>
        <w:tc>
          <w:tcPr>
            <w:tcW w:w="9349" w:type="dxa"/>
            <w:shd w:val="clear" w:color="auto" w:fill="BFBFBF" w:themeFill="background1" w:themeFillShade="BF"/>
          </w:tcPr>
          <w:p w14:paraId="4ECE7870" w14:textId="77777777" w:rsidR="00064A62" w:rsidRPr="009C3491" w:rsidRDefault="00510199" w:rsidP="004342E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Comments</w:t>
            </w:r>
          </w:p>
        </w:tc>
      </w:tr>
      <w:tr w:rsidR="008730B2" w:rsidRPr="00AE660B" w14:paraId="7EDB4EFD" w14:textId="77777777" w:rsidTr="00542435">
        <w:tc>
          <w:tcPr>
            <w:tcW w:w="2780" w:type="dxa"/>
          </w:tcPr>
          <w:p w14:paraId="30187090" w14:textId="3692AFA0" w:rsidR="008730B2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Introduction to  EduBox 1 and Session 01</w:t>
            </w:r>
          </w:p>
        </w:tc>
        <w:tc>
          <w:tcPr>
            <w:tcW w:w="2148" w:type="dxa"/>
          </w:tcPr>
          <w:p w14:paraId="34A316F6" w14:textId="77777777" w:rsidR="00560191" w:rsidRPr="009C3491" w:rsidRDefault="00560191" w:rsidP="00560191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6FB49C41" w14:textId="77777777" w:rsidR="008730B2" w:rsidRPr="009C3491" w:rsidRDefault="008730B2" w:rsidP="00560191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</w:pPr>
          </w:p>
        </w:tc>
      </w:tr>
      <w:tr w:rsidR="00202316" w:rsidRPr="00AE660B" w14:paraId="0C21711C" w14:textId="77777777" w:rsidTr="00542435">
        <w:tc>
          <w:tcPr>
            <w:tcW w:w="2780" w:type="dxa"/>
          </w:tcPr>
          <w:p w14:paraId="6FB170AC" w14:textId="453BE666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2148" w:type="dxa"/>
          </w:tcPr>
          <w:p w14:paraId="2602AFFF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Explanation</w:t>
            </w:r>
          </w:p>
          <w:p w14:paraId="053C586B" w14:textId="5026946A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7718C3EE" w14:textId="6F2B26F9" w:rsidR="00202316" w:rsidRPr="009C3491" w:rsidRDefault="00202316" w:rsidP="00843EA3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One could also leave the set of slides without any elaboration</w:t>
            </w:r>
          </w:p>
        </w:tc>
      </w:tr>
      <w:tr w:rsidR="00202316" w:rsidRPr="00AE660B" w14:paraId="0AD190A4" w14:textId="77777777" w:rsidTr="00542435">
        <w:tc>
          <w:tcPr>
            <w:tcW w:w="2780" w:type="dxa"/>
          </w:tcPr>
          <w:p w14:paraId="3E7236F9" w14:textId="138641F2" w:rsidR="00202316" w:rsidRPr="009C3491" w:rsidRDefault="008D506F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148" w:type="dxa"/>
          </w:tcPr>
          <w:p w14:paraId="604E5551" w14:textId="3E203F58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Explanation 3 minutes</w:t>
            </w:r>
          </w:p>
        </w:tc>
        <w:tc>
          <w:tcPr>
            <w:tcW w:w="9349" w:type="dxa"/>
          </w:tcPr>
          <w:p w14:paraId="382BFE8F" w14:textId="726CE8DD" w:rsidR="00202316" w:rsidRPr="009C3491" w:rsidRDefault="00843EA3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 xml:space="preserve">One could also leave </w:t>
            </w:r>
            <w:r w:rsidR="00202316"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the set of slides without any elaboration</w:t>
            </w:r>
          </w:p>
        </w:tc>
      </w:tr>
      <w:tr w:rsidR="00202316" w:rsidRPr="00AE660B" w14:paraId="2DF67F75" w14:textId="77777777" w:rsidTr="00542435">
        <w:tc>
          <w:tcPr>
            <w:tcW w:w="2780" w:type="dxa"/>
          </w:tcPr>
          <w:p w14:paraId="24A68B24" w14:textId="528DAD85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Lead-in</w:t>
            </w:r>
          </w:p>
        </w:tc>
        <w:tc>
          <w:tcPr>
            <w:tcW w:w="2148" w:type="dxa"/>
          </w:tcPr>
          <w:p w14:paraId="2046B490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Activate students</w:t>
            </w:r>
          </w:p>
          <w:p w14:paraId="5389CBB5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5DCB841" w14:textId="6858BEF6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4F954EA2" w14:textId="2B0D3080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Use pictures to show some commonalities (e.g. the thought of bei</w:t>
            </w:r>
            <w:r w:rsidR="00843EA3">
              <w:rPr>
                <w:rFonts w:ascii="Nunito Light" w:hAnsi="Nunito Light"/>
                <w:sz w:val="24"/>
                <w:szCs w:val="24"/>
                <w:lang w:val="en-GB"/>
              </w:rPr>
              <w:t>ng protected against evil or bad</w:t>
            </w: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thinking) and specifics (if you don’t know what the symbol of the P with the broom across it means you can’t understand the sign, or if you don’t know what the meaning of 11 a.m. and 12.30 p.m. means)</w:t>
            </w:r>
          </w:p>
        </w:tc>
      </w:tr>
      <w:tr w:rsidR="00202316" w:rsidRPr="00AE660B" w14:paraId="5FC5419A" w14:textId="77777777" w:rsidTr="00542435">
        <w:tc>
          <w:tcPr>
            <w:tcW w:w="2780" w:type="dxa"/>
          </w:tcPr>
          <w:p w14:paraId="648486D7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Culture, some definitions</w:t>
            </w:r>
          </w:p>
        </w:tc>
        <w:tc>
          <w:tcPr>
            <w:tcW w:w="2148" w:type="dxa"/>
          </w:tcPr>
          <w:p w14:paraId="4B35D00E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Reactivate pre-knowledge</w:t>
            </w:r>
          </w:p>
          <w:p w14:paraId="6A7B7CC7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E6EDA60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5 minutes</w:t>
            </w:r>
          </w:p>
        </w:tc>
        <w:tc>
          <w:tcPr>
            <w:tcW w:w="9349" w:type="dxa"/>
          </w:tcPr>
          <w:p w14:paraId="1DBC66ED" w14:textId="10EDB06C" w:rsidR="00202316" w:rsidRPr="009C3491" w:rsidRDefault="00843EA3" w:rsidP="00843EA3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>This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US"/>
              </w:rPr>
              <w:t xml:space="preserve"> exercise is 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>aimed at reactivating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US"/>
              </w:rPr>
              <w:t xml:space="preserve"> </w:t>
            </w:r>
            <w:r w:rsidR="00202316">
              <w:rPr>
                <w:rFonts w:ascii="Nunito Light" w:hAnsi="Nunito Light"/>
                <w:sz w:val="24"/>
                <w:szCs w:val="24"/>
                <w:lang w:val="en-US"/>
              </w:rPr>
              <w:t xml:space="preserve">existing 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US"/>
              </w:rPr>
              <w:t>knowledge but can equally be used as an introduction</w:t>
            </w:r>
          </w:p>
        </w:tc>
      </w:tr>
      <w:tr w:rsidR="00202316" w:rsidRPr="00AE660B" w14:paraId="1CB17B6B" w14:textId="77777777" w:rsidTr="00542435">
        <w:tc>
          <w:tcPr>
            <w:tcW w:w="2780" w:type="dxa"/>
          </w:tcPr>
          <w:p w14:paraId="2D7290EE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Components of culture</w:t>
            </w:r>
          </w:p>
        </w:tc>
        <w:tc>
          <w:tcPr>
            <w:tcW w:w="2148" w:type="dxa"/>
          </w:tcPr>
          <w:p w14:paraId="1F2EC817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Input-discussion</w:t>
            </w:r>
          </w:p>
          <w:p w14:paraId="60BED4B9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20 minutes</w:t>
            </w:r>
          </w:p>
        </w:tc>
        <w:tc>
          <w:tcPr>
            <w:tcW w:w="9349" w:type="dxa"/>
          </w:tcPr>
          <w:p w14:paraId="13F3AA28" w14:textId="3BA657E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Deepen</w:t>
            </w:r>
            <w:r w:rsidR="00843EA3">
              <w:rPr>
                <w:rFonts w:ascii="Nunito Light" w:hAnsi="Nunito Light"/>
                <w:sz w:val="24"/>
                <w:szCs w:val="24"/>
                <w:lang w:val="en-GB"/>
              </w:rPr>
              <w:t>s</w:t>
            </w: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understanding of culture</w:t>
            </w:r>
          </w:p>
          <w:p w14:paraId="05D3780F" w14:textId="79783AB9" w:rsidR="00202316" w:rsidRPr="009C3491" w:rsidRDefault="00202316" w:rsidP="00843EA3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 xml:space="preserve">Depending on </w:t>
            </w:r>
            <w:r w:rsidR="00843EA3">
              <w:rPr>
                <w:rFonts w:ascii="Nunito Light" w:hAnsi="Nunito Light"/>
                <w:sz w:val="24"/>
                <w:szCs w:val="24"/>
                <w:lang w:val="en-US"/>
              </w:rPr>
              <w:t xml:space="preserve">existing </w:t>
            </w: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 xml:space="preserve">knowledge this can be shortened but </w:t>
            </w:r>
            <w:r w:rsidR="00843EA3">
              <w:rPr>
                <w:rFonts w:ascii="Nunito Light" w:hAnsi="Nunito Light"/>
                <w:sz w:val="24"/>
                <w:szCs w:val="24"/>
                <w:lang w:val="en-US"/>
              </w:rPr>
              <w:t xml:space="preserve">may </w:t>
            </w: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also take longer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than 20 minutes</w:t>
            </w:r>
          </w:p>
        </w:tc>
      </w:tr>
      <w:tr w:rsidR="00202316" w:rsidRPr="00AE660B" w14:paraId="3832E2C4" w14:textId="77777777" w:rsidTr="00542435">
        <w:tc>
          <w:tcPr>
            <w:tcW w:w="2780" w:type="dxa"/>
          </w:tcPr>
          <w:p w14:paraId="5FD8728A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Culture, a critical reflection</w:t>
            </w:r>
          </w:p>
        </w:tc>
        <w:tc>
          <w:tcPr>
            <w:tcW w:w="2148" w:type="dxa"/>
          </w:tcPr>
          <w:p w14:paraId="0DAEFA98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14:paraId="0CD04043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2C3DEFCE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5F2584C8" w14:textId="5DD85E4B" w:rsidR="00202316" w:rsidRPr="009C3491" w:rsidRDefault="00843EA3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Broadens 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>understanding of different perspectives on culture</w:t>
            </w:r>
          </w:p>
          <w:p w14:paraId="3D63C96B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  <w:tr w:rsidR="00202316" w:rsidRPr="00AE660B" w14:paraId="4E492414" w14:textId="77777777" w:rsidTr="00542435">
        <w:tc>
          <w:tcPr>
            <w:tcW w:w="2780" w:type="dxa"/>
          </w:tcPr>
          <w:p w14:paraId="5293C469" w14:textId="694B8044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Summary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and reflection</w:t>
            </w:r>
          </w:p>
        </w:tc>
        <w:tc>
          <w:tcPr>
            <w:tcW w:w="2148" w:type="dxa"/>
          </w:tcPr>
          <w:p w14:paraId="4905B9AF" w14:textId="77777777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/Discussion</w:t>
            </w:r>
          </w:p>
          <w:p w14:paraId="09E2CF3B" w14:textId="5AF49F06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10 minutes</w:t>
            </w:r>
          </w:p>
        </w:tc>
        <w:tc>
          <w:tcPr>
            <w:tcW w:w="9349" w:type="dxa"/>
          </w:tcPr>
          <w:p w14:paraId="5D34D12A" w14:textId="2ACF8AFB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Can also be done as a placemat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(</w:t>
            </w:r>
            <w:hyperlink r:id="rId20" w:history="1">
              <w:r w:rsidRPr="00E76029">
                <w:rPr>
                  <w:rStyle w:val="Hyperlink"/>
                  <w:rFonts w:ascii="Nunito Light" w:hAnsi="Nunito Light"/>
                  <w:sz w:val="24"/>
                  <w:szCs w:val="24"/>
                  <w:lang w:val="en-GB"/>
                </w:rPr>
                <w:t>http://www.learnalberta.ca/content/sssm/html/placematactivity_sm.html</w:t>
              </w:r>
            </w:hyperlink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) </w:t>
            </w: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which would then take more time</w:t>
            </w:r>
          </w:p>
        </w:tc>
      </w:tr>
      <w:tr w:rsidR="00202316" w:rsidRPr="00AE660B" w14:paraId="6A893D9E" w14:textId="77777777" w:rsidTr="00542435">
        <w:tc>
          <w:tcPr>
            <w:tcW w:w="2780" w:type="dxa"/>
          </w:tcPr>
          <w:p w14:paraId="6BA88A3C" w14:textId="3EB32AAE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Assignment</w:t>
            </w:r>
          </w:p>
        </w:tc>
        <w:tc>
          <w:tcPr>
            <w:tcW w:w="2148" w:type="dxa"/>
          </w:tcPr>
          <w:p w14:paraId="3BCC1F66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Reading text and summarise the arguments</w:t>
            </w:r>
          </w:p>
        </w:tc>
        <w:tc>
          <w:tcPr>
            <w:tcW w:w="9349" w:type="dxa"/>
          </w:tcPr>
          <w:p w14:paraId="20DD72C9" w14:textId="77777777" w:rsidR="00202316" w:rsidRPr="009C3491" w:rsidRDefault="00202316" w:rsidP="00202316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The text can be read as a preparation to the session as well as a ‘read-on’</w:t>
            </w:r>
          </w:p>
        </w:tc>
      </w:tr>
      <w:tr w:rsidR="00202316" w:rsidRPr="009C3491" w14:paraId="6C8269EA" w14:textId="77777777" w:rsidTr="00542435">
        <w:tc>
          <w:tcPr>
            <w:tcW w:w="2780" w:type="dxa"/>
          </w:tcPr>
          <w:p w14:paraId="2E0DC3DF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Sources</w:t>
            </w:r>
          </w:p>
        </w:tc>
        <w:tc>
          <w:tcPr>
            <w:tcW w:w="2148" w:type="dxa"/>
          </w:tcPr>
          <w:p w14:paraId="612003F2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24445520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</w:tbl>
    <w:p w14:paraId="6C93630A" w14:textId="77777777" w:rsidR="00A25C2F" w:rsidRPr="009C3491" w:rsidRDefault="00A25C2F" w:rsidP="00115804">
      <w:pPr>
        <w:spacing w:after="0"/>
        <w:rPr>
          <w:rFonts w:ascii="Nunito Light" w:hAnsi="Nunito Light"/>
          <w:sz w:val="24"/>
          <w:szCs w:val="24"/>
          <w:lang w:val="en-US"/>
        </w:rPr>
      </w:pPr>
    </w:p>
    <w:sectPr w:rsidR="00A25C2F" w:rsidRPr="009C3491" w:rsidSect="00510199">
      <w:footerReference w:type="default" r:id="rId2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AA871" w14:textId="77777777" w:rsidR="00D47C6B" w:rsidRDefault="00D47C6B" w:rsidP="00A25C2F">
      <w:pPr>
        <w:spacing w:after="0" w:line="240" w:lineRule="auto"/>
      </w:pPr>
      <w:r>
        <w:separator/>
      </w:r>
    </w:p>
  </w:endnote>
  <w:endnote w:type="continuationSeparator" w:id="0">
    <w:p w14:paraId="2D16DD5F" w14:textId="77777777" w:rsidR="00D47C6B" w:rsidRDefault="00D47C6B" w:rsidP="00A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A1F3" w14:textId="1322848D" w:rsidR="00843EA3" w:rsidRDefault="00843EA3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F2D9CD" wp14:editId="2685C954">
          <wp:simplePos x="0" y="0"/>
          <wp:positionH relativeFrom="rightMargin">
            <wp:posOffset>-1119212</wp:posOffset>
          </wp:positionH>
          <wp:positionV relativeFrom="paragraph">
            <wp:posOffset>-40982</wp:posOffset>
          </wp:positionV>
          <wp:extent cx="752400" cy="590400"/>
          <wp:effectExtent l="0" t="0" r="10160" b="0"/>
          <wp:wrapNone/>
          <wp:docPr id="4" name="Bild 4" descr="../../Webdesign/Logo/edu%20box%20logo%20rgb%20klein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Webdesign/Logo/edu%20box%20logo%20rgb%20klein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D2931" w14:textId="451D6117" w:rsidR="00843EA3" w:rsidRDefault="00843E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4F52" w14:textId="77777777" w:rsidR="00D47C6B" w:rsidRDefault="00D47C6B" w:rsidP="00A25C2F">
      <w:pPr>
        <w:spacing w:after="0" w:line="240" w:lineRule="auto"/>
      </w:pPr>
      <w:r>
        <w:separator/>
      </w:r>
    </w:p>
  </w:footnote>
  <w:footnote w:type="continuationSeparator" w:id="0">
    <w:p w14:paraId="602D0129" w14:textId="77777777" w:rsidR="00D47C6B" w:rsidRDefault="00D47C6B" w:rsidP="00A2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A7"/>
    <w:multiLevelType w:val="hybridMultilevel"/>
    <w:tmpl w:val="59D48FF2"/>
    <w:lvl w:ilvl="0" w:tplc="BEF8D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06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6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2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00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00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7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E8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E5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01F74"/>
    <w:multiLevelType w:val="hybridMultilevel"/>
    <w:tmpl w:val="995AB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3E0"/>
    <w:multiLevelType w:val="hybridMultilevel"/>
    <w:tmpl w:val="51C8B476"/>
    <w:lvl w:ilvl="0" w:tplc="9D880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06AD0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CA2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BCAC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A7C14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8AD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B20D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4C89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2ED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577191"/>
    <w:multiLevelType w:val="hybridMultilevel"/>
    <w:tmpl w:val="3B5A413A"/>
    <w:lvl w:ilvl="0" w:tplc="C06C9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2E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82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E7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F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CE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E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3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64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D1A6E"/>
    <w:multiLevelType w:val="hybridMultilevel"/>
    <w:tmpl w:val="56DA7ABA"/>
    <w:lvl w:ilvl="0" w:tplc="A412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F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F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0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67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0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A0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4D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CA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36C07"/>
    <w:multiLevelType w:val="hybridMultilevel"/>
    <w:tmpl w:val="A98AA8FE"/>
    <w:lvl w:ilvl="0" w:tplc="FD66EF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A5B92"/>
    <w:multiLevelType w:val="hybridMultilevel"/>
    <w:tmpl w:val="8B12CD30"/>
    <w:lvl w:ilvl="0" w:tplc="3F66A4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66D572">
      <w:start w:val="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907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EBD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EE0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162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285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0D48B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36E4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166692"/>
    <w:multiLevelType w:val="hybridMultilevel"/>
    <w:tmpl w:val="6F940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F1860"/>
    <w:multiLevelType w:val="hybridMultilevel"/>
    <w:tmpl w:val="89F29904"/>
    <w:lvl w:ilvl="0" w:tplc="C89A7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45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E1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8C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C1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F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4A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21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A0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A5053"/>
    <w:multiLevelType w:val="hybridMultilevel"/>
    <w:tmpl w:val="73A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E4F2E"/>
    <w:multiLevelType w:val="hybridMultilevel"/>
    <w:tmpl w:val="A9662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52C3A"/>
    <w:multiLevelType w:val="hybridMultilevel"/>
    <w:tmpl w:val="EBFA6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B06E2"/>
    <w:multiLevelType w:val="hybridMultilevel"/>
    <w:tmpl w:val="93FC9C1C"/>
    <w:lvl w:ilvl="0" w:tplc="6A6C20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1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3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24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0C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A9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4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E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6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20F92"/>
    <w:multiLevelType w:val="hybridMultilevel"/>
    <w:tmpl w:val="09CAE90A"/>
    <w:lvl w:ilvl="0" w:tplc="E6528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0D4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9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E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E7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0A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67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D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67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C2E43"/>
    <w:multiLevelType w:val="hybridMultilevel"/>
    <w:tmpl w:val="00E83DB2"/>
    <w:lvl w:ilvl="0" w:tplc="30988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D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61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5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E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1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29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8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53AE4"/>
    <w:multiLevelType w:val="hybridMultilevel"/>
    <w:tmpl w:val="0D5CFCB6"/>
    <w:lvl w:ilvl="0" w:tplc="7F6E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B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0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6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E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2C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4A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2F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3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93B82"/>
    <w:multiLevelType w:val="hybridMultilevel"/>
    <w:tmpl w:val="773CB6BC"/>
    <w:lvl w:ilvl="0" w:tplc="FD66EFF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D6FD4"/>
    <w:multiLevelType w:val="hybridMultilevel"/>
    <w:tmpl w:val="E1E24440"/>
    <w:lvl w:ilvl="0" w:tplc="A86A9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819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8F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C7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C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EF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29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4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B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0F7770"/>
    <w:multiLevelType w:val="hybridMultilevel"/>
    <w:tmpl w:val="AAEE1430"/>
    <w:lvl w:ilvl="0" w:tplc="C75C9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60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F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7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8B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E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2E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F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87C48"/>
    <w:multiLevelType w:val="hybridMultilevel"/>
    <w:tmpl w:val="77FC822A"/>
    <w:lvl w:ilvl="0" w:tplc="F9C8F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A9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E2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5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CE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81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07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5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04D5B"/>
    <w:multiLevelType w:val="hybridMultilevel"/>
    <w:tmpl w:val="D70C8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E16314"/>
    <w:multiLevelType w:val="hybridMultilevel"/>
    <w:tmpl w:val="821E4832"/>
    <w:lvl w:ilvl="0" w:tplc="31EC9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1D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C5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C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41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60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6D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4E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8F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F7660"/>
    <w:multiLevelType w:val="hybridMultilevel"/>
    <w:tmpl w:val="1E46A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7573E6"/>
    <w:multiLevelType w:val="hybridMultilevel"/>
    <w:tmpl w:val="3D7A025C"/>
    <w:lvl w:ilvl="0" w:tplc="FEBC3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62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6D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C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1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A9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54916"/>
    <w:multiLevelType w:val="hybridMultilevel"/>
    <w:tmpl w:val="0FE2C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D869BB"/>
    <w:multiLevelType w:val="hybridMultilevel"/>
    <w:tmpl w:val="82A8F6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9B7F3E"/>
    <w:multiLevelType w:val="hybridMultilevel"/>
    <w:tmpl w:val="7CA40694"/>
    <w:lvl w:ilvl="0" w:tplc="9EC69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46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A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B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A7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9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65AA2"/>
    <w:multiLevelType w:val="hybridMultilevel"/>
    <w:tmpl w:val="9F7E2D7A"/>
    <w:lvl w:ilvl="0" w:tplc="F4AE3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5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2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1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4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0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C2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0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317E6F"/>
    <w:multiLevelType w:val="hybridMultilevel"/>
    <w:tmpl w:val="7542DC46"/>
    <w:lvl w:ilvl="0" w:tplc="2AF45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6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8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8E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B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9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E6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22F13"/>
    <w:multiLevelType w:val="hybridMultilevel"/>
    <w:tmpl w:val="73AE411A"/>
    <w:lvl w:ilvl="0" w:tplc="0CE279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34376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E6C8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D0D0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845A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C64F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5CFC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CC87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2C30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E855D3"/>
    <w:multiLevelType w:val="hybridMultilevel"/>
    <w:tmpl w:val="93943286"/>
    <w:lvl w:ilvl="0" w:tplc="B88E9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0F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5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2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0B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A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A9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6F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8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373C51"/>
    <w:multiLevelType w:val="hybridMultilevel"/>
    <w:tmpl w:val="4E0469D0"/>
    <w:lvl w:ilvl="0" w:tplc="B91AB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AA92">
      <w:start w:val="5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8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1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8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D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E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2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AC650B"/>
    <w:multiLevelType w:val="hybridMultilevel"/>
    <w:tmpl w:val="37E4B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A17025"/>
    <w:multiLevelType w:val="hybridMultilevel"/>
    <w:tmpl w:val="0ACED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5"/>
  </w:num>
  <w:num w:numId="5">
    <w:abstractNumId w:val="29"/>
  </w:num>
  <w:num w:numId="6">
    <w:abstractNumId w:val="20"/>
  </w:num>
  <w:num w:numId="7">
    <w:abstractNumId w:val="24"/>
  </w:num>
  <w:num w:numId="8">
    <w:abstractNumId w:val="32"/>
  </w:num>
  <w:num w:numId="9">
    <w:abstractNumId w:val="11"/>
  </w:num>
  <w:num w:numId="10">
    <w:abstractNumId w:val="19"/>
  </w:num>
  <w:num w:numId="11">
    <w:abstractNumId w:val="31"/>
  </w:num>
  <w:num w:numId="12">
    <w:abstractNumId w:val="15"/>
  </w:num>
  <w:num w:numId="13">
    <w:abstractNumId w:val="27"/>
  </w:num>
  <w:num w:numId="14">
    <w:abstractNumId w:val="33"/>
  </w:num>
  <w:num w:numId="15">
    <w:abstractNumId w:val="26"/>
  </w:num>
  <w:num w:numId="16">
    <w:abstractNumId w:val="23"/>
  </w:num>
  <w:num w:numId="17">
    <w:abstractNumId w:val="1"/>
  </w:num>
  <w:num w:numId="18">
    <w:abstractNumId w:val="6"/>
  </w:num>
  <w:num w:numId="19">
    <w:abstractNumId w:val="9"/>
  </w:num>
  <w:num w:numId="20">
    <w:abstractNumId w:val="7"/>
  </w:num>
  <w:num w:numId="21">
    <w:abstractNumId w:val="2"/>
  </w:num>
  <w:num w:numId="22">
    <w:abstractNumId w:val="22"/>
  </w:num>
  <w:num w:numId="23">
    <w:abstractNumId w:val="4"/>
  </w:num>
  <w:num w:numId="24">
    <w:abstractNumId w:val="28"/>
  </w:num>
  <w:num w:numId="25">
    <w:abstractNumId w:val="14"/>
  </w:num>
  <w:num w:numId="26">
    <w:abstractNumId w:val="18"/>
  </w:num>
  <w:num w:numId="27">
    <w:abstractNumId w:val="30"/>
  </w:num>
  <w:num w:numId="28">
    <w:abstractNumId w:val="21"/>
  </w:num>
  <w:num w:numId="29">
    <w:abstractNumId w:val="12"/>
  </w:num>
  <w:num w:numId="30">
    <w:abstractNumId w:val="17"/>
  </w:num>
  <w:num w:numId="31">
    <w:abstractNumId w:val="0"/>
  </w:num>
  <w:num w:numId="32">
    <w:abstractNumId w:val="3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04"/>
    <w:rsid w:val="00047A2E"/>
    <w:rsid w:val="00053520"/>
    <w:rsid w:val="000603CC"/>
    <w:rsid w:val="0006302A"/>
    <w:rsid w:val="00064A62"/>
    <w:rsid w:val="0007313D"/>
    <w:rsid w:val="0009132B"/>
    <w:rsid w:val="000A17AC"/>
    <w:rsid w:val="000A6378"/>
    <w:rsid w:val="000B6E3D"/>
    <w:rsid w:val="000E32F1"/>
    <w:rsid w:val="00115804"/>
    <w:rsid w:val="00121784"/>
    <w:rsid w:val="00131BEE"/>
    <w:rsid w:val="00144394"/>
    <w:rsid w:val="00161521"/>
    <w:rsid w:val="001838F5"/>
    <w:rsid w:val="00187A9F"/>
    <w:rsid w:val="001C1417"/>
    <w:rsid w:val="001C2C45"/>
    <w:rsid w:val="00202316"/>
    <w:rsid w:val="00205298"/>
    <w:rsid w:val="00216DEF"/>
    <w:rsid w:val="00230091"/>
    <w:rsid w:val="002306B9"/>
    <w:rsid w:val="002402A8"/>
    <w:rsid w:val="00247E9B"/>
    <w:rsid w:val="00277A31"/>
    <w:rsid w:val="002B0884"/>
    <w:rsid w:val="002E242A"/>
    <w:rsid w:val="00306439"/>
    <w:rsid w:val="00323460"/>
    <w:rsid w:val="00336592"/>
    <w:rsid w:val="003A2922"/>
    <w:rsid w:val="003E0319"/>
    <w:rsid w:val="003F5E26"/>
    <w:rsid w:val="0040763A"/>
    <w:rsid w:val="004342E4"/>
    <w:rsid w:val="00434992"/>
    <w:rsid w:val="00447524"/>
    <w:rsid w:val="00455C22"/>
    <w:rsid w:val="00461401"/>
    <w:rsid w:val="004A6ABF"/>
    <w:rsid w:val="004B7C43"/>
    <w:rsid w:val="004D3EE5"/>
    <w:rsid w:val="004E26AF"/>
    <w:rsid w:val="004E2928"/>
    <w:rsid w:val="004F569D"/>
    <w:rsid w:val="00510199"/>
    <w:rsid w:val="0052341E"/>
    <w:rsid w:val="00542435"/>
    <w:rsid w:val="00560191"/>
    <w:rsid w:val="00567F9A"/>
    <w:rsid w:val="00583B2C"/>
    <w:rsid w:val="005940F0"/>
    <w:rsid w:val="005C32F6"/>
    <w:rsid w:val="005E2147"/>
    <w:rsid w:val="00613DF7"/>
    <w:rsid w:val="00671778"/>
    <w:rsid w:val="00693951"/>
    <w:rsid w:val="00693C24"/>
    <w:rsid w:val="00697A71"/>
    <w:rsid w:val="006B1E75"/>
    <w:rsid w:val="006E4491"/>
    <w:rsid w:val="00707CEC"/>
    <w:rsid w:val="00721900"/>
    <w:rsid w:val="00723862"/>
    <w:rsid w:val="00766C41"/>
    <w:rsid w:val="00776DE9"/>
    <w:rsid w:val="007775AE"/>
    <w:rsid w:val="00791743"/>
    <w:rsid w:val="007A25A3"/>
    <w:rsid w:val="007B5D0D"/>
    <w:rsid w:val="007E30BB"/>
    <w:rsid w:val="008127B0"/>
    <w:rsid w:val="008243F1"/>
    <w:rsid w:val="00843EA3"/>
    <w:rsid w:val="008730B2"/>
    <w:rsid w:val="008A1685"/>
    <w:rsid w:val="008D506F"/>
    <w:rsid w:val="008E736F"/>
    <w:rsid w:val="008F06CA"/>
    <w:rsid w:val="008F339B"/>
    <w:rsid w:val="00912A5D"/>
    <w:rsid w:val="00916321"/>
    <w:rsid w:val="009202D9"/>
    <w:rsid w:val="00955661"/>
    <w:rsid w:val="00957340"/>
    <w:rsid w:val="009817B0"/>
    <w:rsid w:val="009B2458"/>
    <w:rsid w:val="009B3877"/>
    <w:rsid w:val="009C31EF"/>
    <w:rsid w:val="009C3491"/>
    <w:rsid w:val="009D1814"/>
    <w:rsid w:val="00A10F78"/>
    <w:rsid w:val="00A178E3"/>
    <w:rsid w:val="00A25C2F"/>
    <w:rsid w:val="00A26ED1"/>
    <w:rsid w:val="00A37B7C"/>
    <w:rsid w:val="00A93336"/>
    <w:rsid w:val="00A9486E"/>
    <w:rsid w:val="00AC7BBB"/>
    <w:rsid w:val="00AE660B"/>
    <w:rsid w:val="00AF768A"/>
    <w:rsid w:val="00B02421"/>
    <w:rsid w:val="00B451F1"/>
    <w:rsid w:val="00B452B1"/>
    <w:rsid w:val="00B769DF"/>
    <w:rsid w:val="00B86D3E"/>
    <w:rsid w:val="00BA277E"/>
    <w:rsid w:val="00BB7EF6"/>
    <w:rsid w:val="00BF7DD4"/>
    <w:rsid w:val="00C114C9"/>
    <w:rsid w:val="00C359D3"/>
    <w:rsid w:val="00C41CD9"/>
    <w:rsid w:val="00C600F4"/>
    <w:rsid w:val="00C62A76"/>
    <w:rsid w:val="00C7795B"/>
    <w:rsid w:val="00CA2974"/>
    <w:rsid w:val="00CE55AF"/>
    <w:rsid w:val="00D015D4"/>
    <w:rsid w:val="00D038F0"/>
    <w:rsid w:val="00D47939"/>
    <w:rsid w:val="00D47C6B"/>
    <w:rsid w:val="00D53038"/>
    <w:rsid w:val="00D74B02"/>
    <w:rsid w:val="00D767E3"/>
    <w:rsid w:val="00D97C0B"/>
    <w:rsid w:val="00DA00D4"/>
    <w:rsid w:val="00DA0E08"/>
    <w:rsid w:val="00DB41C2"/>
    <w:rsid w:val="00DC3C78"/>
    <w:rsid w:val="00DC7061"/>
    <w:rsid w:val="00DD34C2"/>
    <w:rsid w:val="00DE02F4"/>
    <w:rsid w:val="00E210CA"/>
    <w:rsid w:val="00E52025"/>
    <w:rsid w:val="00E65616"/>
    <w:rsid w:val="00E85A80"/>
    <w:rsid w:val="00EC0346"/>
    <w:rsid w:val="00ED32C7"/>
    <w:rsid w:val="00ED3C82"/>
    <w:rsid w:val="00F33A61"/>
    <w:rsid w:val="00F552AE"/>
    <w:rsid w:val="00F63B8F"/>
    <w:rsid w:val="00F65F9A"/>
    <w:rsid w:val="00FB29DE"/>
    <w:rsid w:val="00FC78BB"/>
    <w:rsid w:val="00FD3F87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F553F"/>
  <w15:docId w15:val="{0005C8E0-BD9B-4663-8BDD-C1B8AD70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B6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C2F"/>
  </w:style>
  <w:style w:type="paragraph" w:styleId="Fuzeile">
    <w:name w:val="footer"/>
    <w:basedOn w:val="Standard"/>
    <w:link w:val="Fu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C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9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95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7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8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3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5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5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-jena.de/philosophie/IWK-neu/typo3/fileadmin/publicationen/Bolten_2013_Fuzzy_Cultures.pdf" TargetMode="External"/><Relationship Id="rId13" Type="http://schemas.openxmlformats.org/officeDocument/2006/relationships/hyperlink" Target="http://www.interculture-journal.com/index.php/icj/issue/viewIssue/37/9" TargetMode="External"/><Relationship Id="rId18" Type="http://schemas.openxmlformats.org/officeDocument/2006/relationships/hyperlink" Target="https://creativecommons.org/licenses/by-sa/4.0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2.uni-jena.de/philosophie/IWK-neu/typo3/fileadmin/publicationen/Bolten_2013_Fuzzy_Cultures.pdf" TargetMode="External"/><Relationship Id="rId12" Type="http://schemas.openxmlformats.org/officeDocument/2006/relationships/hyperlink" Target="http://www.interculture-journal.com/index.php/icj/article/viewFile/178/280" TargetMode="External"/><Relationship Id="rId17" Type="http://schemas.openxmlformats.org/officeDocument/2006/relationships/hyperlink" Target="https://creativecommons.org/licenses/by-sa/4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4.0/" TargetMode="External"/><Relationship Id="rId20" Type="http://schemas.openxmlformats.org/officeDocument/2006/relationships/hyperlink" Target="http://www.learnalberta.ca/content/sssm/html/placematactivity_s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uni-jena.de/philosophie/IWK-neu/typo3/fileadmin/team/juergen.bolten/1608Ik_Kompetenz_neu_denken_-_Polylo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rculture-journal.com/index.php/icj/issue/viewIssue/37/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2.uni-jena.de/philosophie/IWK-neu/typo3/fileadmin/team/juergen.bolten/1608Ik_Kompetenz_neu_denken_-_Polylog.pdf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nterculture-journal.com/index.php/icj/issue/viewIssue/37/9" TargetMode="External"/><Relationship Id="rId14" Type="http://schemas.openxmlformats.org/officeDocument/2006/relationships/hyperlink" Target="http://www.interculture-journal.com/index.php/icj/issue/viewIssue/37/9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Montiel Alafont</dc:creator>
  <cp:lastModifiedBy>haw</cp:lastModifiedBy>
  <cp:revision>11</cp:revision>
  <dcterms:created xsi:type="dcterms:W3CDTF">2018-01-05T15:57:00Z</dcterms:created>
  <dcterms:modified xsi:type="dcterms:W3CDTF">2018-05-01T09:08:00Z</dcterms:modified>
</cp:coreProperties>
</file>