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296"/>
      </w:tblGrid>
      <w:tr w:rsidR="00774977" w:rsidRPr="00774977" w14:paraId="4629FAE6" w14:textId="77777777" w:rsidTr="00957515">
        <w:trPr>
          <w:trHeight w:val="1075"/>
        </w:trPr>
        <w:tc>
          <w:tcPr>
            <w:tcW w:w="7924" w:type="dxa"/>
            <w:vAlign w:val="center"/>
          </w:tcPr>
          <w:p w14:paraId="2FB89945" w14:textId="77777777" w:rsidR="00957515" w:rsidRPr="00774977" w:rsidRDefault="00957515" w:rsidP="00957515">
            <w:pPr>
              <w:jc w:val="right"/>
              <w:rPr>
                <w:sz w:val="20"/>
                <w:szCs w:val="20"/>
                <w:lang w:val="en-US" w:eastAsia="de-DE"/>
              </w:rPr>
            </w:pPr>
            <w:r w:rsidRPr="00774977">
              <w:rPr>
                <w:sz w:val="20"/>
                <w:szCs w:val="20"/>
                <w:lang w:val="en-US" w:eastAsia="de-DE"/>
              </w:rPr>
              <w:t>Persona: Dagmar</w:t>
            </w:r>
          </w:p>
          <w:p w14:paraId="57DCB2DF" w14:textId="77777777" w:rsidR="00957515" w:rsidRPr="00774977" w:rsidRDefault="00957515" w:rsidP="00957515">
            <w:pPr>
              <w:jc w:val="right"/>
              <w:rPr>
                <w:sz w:val="20"/>
                <w:szCs w:val="20"/>
                <w:lang w:val="en-US" w:eastAsia="de-DE"/>
              </w:rPr>
            </w:pPr>
            <w:proofErr w:type="spellStart"/>
            <w:r w:rsidRPr="00774977">
              <w:rPr>
                <w:sz w:val="20"/>
                <w:szCs w:val="20"/>
                <w:lang w:val="en-US" w:eastAsia="de-DE"/>
              </w:rPr>
              <w:t>Thema</w:t>
            </w:r>
            <w:proofErr w:type="spellEnd"/>
            <w:r w:rsidRPr="00774977">
              <w:rPr>
                <w:sz w:val="20"/>
                <w:szCs w:val="20"/>
                <w:lang w:val="en-US" w:eastAsia="de-DE"/>
              </w:rPr>
              <w:t>: Game-Based Learning</w:t>
            </w:r>
          </w:p>
          <w:p w14:paraId="12235962" w14:textId="48C707CD" w:rsidR="00774977" w:rsidRPr="007E6AA5" w:rsidRDefault="00957515" w:rsidP="00957515">
            <w:pPr>
              <w:jc w:val="right"/>
              <w:rPr>
                <w:sz w:val="20"/>
                <w:szCs w:val="20"/>
                <w:lang w:eastAsia="de-DE"/>
              </w:rPr>
            </w:pPr>
            <w:r w:rsidRPr="00774977">
              <w:rPr>
                <w:sz w:val="20"/>
                <w:szCs w:val="20"/>
                <w:lang w:eastAsia="de-DE"/>
              </w:rPr>
              <w:t>Material zu Lerneinheit 2: Game Recherche und Auswahl</w:t>
            </w:r>
          </w:p>
        </w:tc>
        <w:tc>
          <w:tcPr>
            <w:tcW w:w="1290" w:type="dxa"/>
            <w:vAlign w:val="center"/>
          </w:tcPr>
          <w:p w14:paraId="7128D2C0" w14:textId="0B8CB2EB" w:rsidR="00774977" w:rsidRPr="00774977" w:rsidRDefault="00957515" w:rsidP="00957515">
            <w:pPr>
              <w:jc w:val="right"/>
              <w:rPr>
                <w:sz w:val="20"/>
                <w:szCs w:val="20"/>
                <w:lang w:eastAsia="de-DE"/>
              </w:rPr>
            </w:pPr>
            <w:r>
              <w:rPr>
                <w:noProof/>
                <w:sz w:val="20"/>
                <w:szCs w:val="20"/>
                <w:lang w:eastAsia="de-DE"/>
              </w:rPr>
              <w:drawing>
                <wp:inline distT="0" distB="0" distL="0" distR="0" wp14:anchorId="783A92C6" wp14:editId="7A1DAF16">
                  <wp:extent cx="681740" cy="66271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agmar_stadtsilhouette.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88966" cy="669739"/>
                          </a:xfrm>
                          <a:prstGeom prst="rect">
                            <a:avLst/>
                          </a:prstGeom>
                        </pic:spPr>
                      </pic:pic>
                    </a:graphicData>
                  </a:graphic>
                </wp:inline>
              </w:drawing>
            </w:r>
          </w:p>
        </w:tc>
      </w:tr>
    </w:tbl>
    <w:p w14:paraId="1536290F" w14:textId="77777777" w:rsidR="00C301A2" w:rsidRPr="00774977" w:rsidRDefault="00C301A2" w:rsidP="00C301A2">
      <w:pPr>
        <w:rPr>
          <w:sz w:val="24"/>
        </w:rPr>
      </w:pPr>
    </w:p>
    <w:p w14:paraId="4455EAC3" w14:textId="457C164F" w:rsidR="00F45693" w:rsidRPr="00597BE3" w:rsidRDefault="002E2596" w:rsidP="00F45693">
      <w:pPr>
        <w:pStyle w:val="berschrift2"/>
        <w:spacing w:line="276" w:lineRule="auto"/>
      </w:pPr>
      <w:r>
        <w:t>Checkliste „Motivierende Spiele“</w:t>
      </w:r>
    </w:p>
    <w:p w14:paraId="6DAE4793" w14:textId="544A56E2" w:rsidR="00630EDC" w:rsidRDefault="00AA2652" w:rsidP="00AA2652">
      <w:pPr>
        <w:spacing w:after="120" w:line="276" w:lineRule="auto"/>
        <w:rPr>
          <w:sz w:val="24"/>
          <w:lang w:eastAsia="de-DE"/>
        </w:rPr>
      </w:pPr>
      <w:r w:rsidRPr="00AA2652">
        <w:rPr>
          <w:sz w:val="24"/>
          <w:lang w:eastAsia="de-DE"/>
        </w:rPr>
        <w:t>Spiel</w:t>
      </w:r>
      <w:r>
        <w:rPr>
          <w:sz w:val="24"/>
          <w:lang w:eastAsia="de-DE"/>
        </w:rPr>
        <w:t>e</w:t>
      </w:r>
      <w:r w:rsidRPr="00AA2652">
        <w:rPr>
          <w:sz w:val="24"/>
          <w:lang w:eastAsia="de-DE"/>
        </w:rPr>
        <w:t xml:space="preserve"> sollte</w:t>
      </w:r>
      <w:r>
        <w:rPr>
          <w:sz w:val="24"/>
          <w:lang w:eastAsia="de-DE"/>
        </w:rPr>
        <w:t>n</w:t>
      </w:r>
      <w:r w:rsidRPr="00AA2652">
        <w:rPr>
          <w:sz w:val="24"/>
          <w:lang w:eastAsia="de-DE"/>
        </w:rPr>
        <w:t xml:space="preserve"> insgesamt unterhaltsam sein, </w:t>
      </w:r>
      <w:r>
        <w:rPr>
          <w:sz w:val="24"/>
          <w:lang w:eastAsia="de-DE"/>
        </w:rPr>
        <w:t xml:space="preserve">um motivierend zu wirken, </w:t>
      </w:r>
      <w:r w:rsidRPr="00AA2652">
        <w:rPr>
          <w:sz w:val="24"/>
          <w:lang w:eastAsia="de-DE"/>
        </w:rPr>
        <w:t xml:space="preserve">indem </w:t>
      </w:r>
      <w:r>
        <w:rPr>
          <w:sz w:val="24"/>
          <w:lang w:eastAsia="de-DE"/>
        </w:rPr>
        <w:t>sie</w:t>
      </w:r>
      <w:r w:rsidRPr="00AA2652">
        <w:rPr>
          <w:sz w:val="24"/>
          <w:lang w:eastAsia="de-DE"/>
        </w:rPr>
        <w:t xml:space="preserve"> z.B. humorvol</w:t>
      </w:r>
      <w:r>
        <w:rPr>
          <w:sz w:val="24"/>
          <w:lang w:eastAsia="de-DE"/>
        </w:rPr>
        <w:t>le Details und Dialoge verwenden</w:t>
      </w:r>
      <w:r w:rsidR="00630EDC">
        <w:rPr>
          <w:sz w:val="24"/>
          <w:lang w:eastAsia="de-DE"/>
        </w:rPr>
        <w:t xml:space="preserve"> und ansprechend gestaltet sind. Technische Funktionalität ist notwendige Voraussetzung für motivierende Spiele.</w:t>
      </w:r>
    </w:p>
    <w:p w14:paraId="00FC2995" w14:textId="4EC4C45F" w:rsidR="00AA2652" w:rsidRDefault="00AA2652" w:rsidP="00AA2652">
      <w:pPr>
        <w:spacing w:after="120" w:line="276" w:lineRule="auto"/>
        <w:rPr>
          <w:sz w:val="24"/>
          <w:lang w:eastAsia="de-DE"/>
        </w:rPr>
      </w:pPr>
      <w:r>
        <w:rPr>
          <w:sz w:val="24"/>
          <w:lang w:eastAsia="de-DE"/>
        </w:rPr>
        <w:t>Ordnen Sie die Spiele, die für Sie thematisch in Frage kommen, einmal den unterschiedlichen Typen von Lernspielen in der folgenden Abbildung zu. So erhalten Sie einen ersten Überblick über deren motivierende Eigenschaften.</w:t>
      </w:r>
    </w:p>
    <w:p w14:paraId="285D50B2" w14:textId="30187294" w:rsidR="00AA2652" w:rsidRDefault="007E5E87" w:rsidP="00AF45D5">
      <w:pPr>
        <w:spacing w:line="276" w:lineRule="auto"/>
        <w:jc w:val="center"/>
        <w:rPr>
          <w:sz w:val="24"/>
          <w:lang w:eastAsia="de-DE"/>
        </w:rPr>
      </w:pPr>
      <w:r>
        <w:rPr>
          <w:noProof/>
          <w:lang w:eastAsia="de-DE"/>
        </w:rPr>
        <w:drawing>
          <wp:inline distT="0" distB="0" distL="0" distR="0" wp14:anchorId="34F06564" wp14:editId="66CD4A2B">
            <wp:extent cx="5756910" cy="42094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4209415"/>
                    </a:xfrm>
                    <a:prstGeom prst="rect">
                      <a:avLst/>
                    </a:prstGeom>
                  </pic:spPr>
                </pic:pic>
              </a:graphicData>
            </a:graphic>
          </wp:inline>
        </w:drawing>
      </w:r>
    </w:p>
    <w:p w14:paraId="4161BD14" w14:textId="0F83AED9" w:rsidR="00AA2652" w:rsidRPr="007E5E87" w:rsidRDefault="007E5E87" w:rsidP="007E5E87">
      <w:pPr>
        <w:spacing w:line="276" w:lineRule="auto"/>
        <w:rPr>
          <w:szCs w:val="18"/>
          <w:lang w:eastAsia="de-DE"/>
        </w:rPr>
      </w:pPr>
      <w:r w:rsidRPr="007E5E87">
        <w:rPr>
          <w:szCs w:val="18"/>
          <w:lang w:eastAsia="de-DE"/>
        </w:rPr>
        <w:t xml:space="preserve">(Abbildung aus: </w:t>
      </w:r>
      <w:proofErr w:type="spellStart"/>
      <w:r w:rsidRPr="007E5E87">
        <w:rPr>
          <w:szCs w:val="18"/>
          <w:lang w:eastAsia="de-DE"/>
        </w:rPr>
        <w:t>Pfannstiel</w:t>
      </w:r>
      <w:proofErr w:type="spellEnd"/>
      <w:r w:rsidRPr="007E5E87">
        <w:rPr>
          <w:szCs w:val="18"/>
          <w:lang w:eastAsia="de-DE"/>
        </w:rPr>
        <w:t>, Sänger &amp; Schmidt 2009, S. 5, Lizenz: CC BY 4.0</w:t>
      </w:r>
      <w:r w:rsidRPr="007E5E87">
        <w:rPr>
          <w:szCs w:val="18"/>
        </w:rPr>
        <w:t xml:space="preserve">, </w:t>
      </w:r>
      <w:hyperlink r:id="rId8" w:history="1">
        <w:r w:rsidRPr="007E5E87">
          <w:rPr>
            <w:rStyle w:val="Hyperlink"/>
            <w:szCs w:val="18"/>
            <w:lang w:eastAsia="de-DE"/>
          </w:rPr>
          <w:t>http://creativecommons.org/licenses/by/4.0/</w:t>
        </w:r>
      </w:hyperlink>
      <w:r w:rsidRPr="007E5E87">
        <w:rPr>
          <w:szCs w:val="18"/>
          <w:lang w:eastAsia="de-DE"/>
        </w:rPr>
        <w:t>)</w:t>
      </w:r>
    </w:p>
    <w:p w14:paraId="31E5AF3E" w14:textId="77777777" w:rsidR="00AA2652" w:rsidRDefault="00AA2652" w:rsidP="00AA2652">
      <w:pPr>
        <w:spacing w:after="120" w:line="276" w:lineRule="auto"/>
        <w:rPr>
          <w:sz w:val="24"/>
          <w:lang w:eastAsia="de-DE"/>
        </w:rPr>
      </w:pPr>
    </w:p>
    <w:p w14:paraId="2F1C0565" w14:textId="24BF8AC9" w:rsidR="00F45693" w:rsidRDefault="002E2596" w:rsidP="00E12EFD">
      <w:pPr>
        <w:spacing w:line="276" w:lineRule="auto"/>
      </w:pPr>
      <w:r w:rsidRPr="002E2596">
        <w:rPr>
          <w:sz w:val="24"/>
          <w:lang w:eastAsia="de-DE"/>
        </w:rPr>
        <w:lastRenderedPageBreak/>
        <w:t xml:space="preserve">Bitte gehen Sie </w:t>
      </w:r>
      <w:r w:rsidR="00AA2652">
        <w:rPr>
          <w:sz w:val="24"/>
          <w:lang w:eastAsia="de-DE"/>
        </w:rPr>
        <w:t xml:space="preserve">nun </w:t>
      </w:r>
      <w:r w:rsidRPr="002E2596">
        <w:rPr>
          <w:sz w:val="24"/>
          <w:lang w:eastAsia="de-DE"/>
        </w:rPr>
        <w:t xml:space="preserve">für </w:t>
      </w:r>
      <w:r w:rsidR="00AA2652">
        <w:rPr>
          <w:sz w:val="24"/>
          <w:lang w:eastAsia="de-DE"/>
        </w:rPr>
        <w:t xml:space="preserve">die </w:t>
      </w:r>
      <w:r w:rsidRPr="002E2596">
        <w:rPr>
          <w:sz w:val="24"/>
          <w:lang w:eastAsia="de-DE"/>
        </w:rPr>
        <w:t>Spiele, die für Sie thematisch in Frage kommen, die folgende Checkliste durch und haken alle Punkte ab, die auf das Spiel zutreffen. Je mehr Haken Sie für ein Spiel setzen, desto größer ist der Anteil motivierender Eigenschaften des</w:t>
      </w:r>
      <w:r>
        <w:rPr>
          <w:sz w:val="24"/>
          <w:lang w:eastAsia="de-DE"/>
        </w:rPr>
        <w:t xml:space="preserve"> Spiels.</w:t>
      </w:r>
      <w:r w:rsidR="007E6AA5" w:rsidRPr="007E6AA5">
        <w:t xml:space="preserve"> </w:t>
      </w:r>
    </w:p>
    <w:p w14:paraId="633C0713" w14:textId="77777777" w:rsidR="00E12EFD" w:rsidRPr="00E12EFD" w:rsidRDefault="00E12EFD" w:rsidP="00E12EFD">
      <w:pPr>
        <w:spacing w:line="276" w:lineRule="auto"/>
        <w:rPr>
          <w:sz w:val="24"/>
        </w:rPr>
      </w:pPr>
    </w:p>
    <w:tbl>
      <w:tblPr>
        <w:tblStyle w:val="Tabellenraster"/>
        <w:tblW w:w="9072" w:type="dxa"/>
        <w:tblInd w:w="-5" w:type="dxa"/>
        <w:tblLayout w:type="fixed"/>
        <w:tblLook w:val="04A0" w:firstRow="1" w:lastRow="0" w:firstColumn="1" w:lastColumn="0" w:noHBand="0" w:noVBand="1"/>
      </w:tblPr>
      <w:tblGrid>
        <w:gridCol w:w="1391"/>
        <w:gridCol w:w="6547"/>
        <w:gridCol w:w="1134"/>
      </w:tblGrid>
      <w:tr w:rsidR="002E2596" w:rsidRPr="002E2596" w14:paraId="21D0CBED" w14:textId="77777777" w:rsidTr="005C7E92">
        <w:trPr>
          <w:cantSplit/>
          <w:tblHeader/>
        </w:trPr>
        <w:tc>
          <w:tcPr>
            <w:tcW w:w="1391" w:type="dxa"/>
            <w:shd w:val="clear" w:color="auto" w:fill="D9D9D9" w:themeFill="background1" w:themeFillShade="D9"/>
          </w:tcPr>
          <w:p w14:paraId="06526156" w14:textId="77777777" w:rsidR="002E2596" w:rsidRPr="002E2596" w:rsidRDefault="002E2596" w:rsidP="002E2596">
            <w:pPr>
              <w:spacing w:line="276" w:lineRule="auto"/>
              <w:rPr>
                <w:b/>
                <w:sz w:val="24"/>
                <w:lang w:eastAsia="de-DE"/>
              </w:rPr>
            </w:pPr>
            <w:r w:rsidRPr="002E2596">
              <w:rPr>
                <w:b/>
                <w:sz w:val="24"/>
                <w:lang w:eastAsia="de-DE"/>
              </w:rPr>
              <w:t>Bereich</w:t>
            </w:r>
          </w:p>
        </w:tc>
        <w:tc>
          <w:tcPr>
            <w:tcW w:w="6547" w:type="dxa"/>
            <w:shd w:val="clear" w:color="auto" w:fill="D9D9D9" w:themeFill="background1" w:themeFillShade="D9"/>
          </w:tcPr>
          <w:p w14:paraId="216CE524" w14:textId="77777777" w:rsidR="002E2596" w:rsidRPr="002E2596" w:rsidRDefault="002E2596" w:rsidP="002E2596">
            <w:pPr>
              <w:spacing w:line="276" w:lineRule="auto"/>
              <w:rPr>
                <w:b/>
                <w:sz w:val="24"/>
                <w:lang w:eastAsia="de-DE"/>
              </w:rPr>
            </w:pPr>
            <w:r w:rsidRPr="002E2596">
              <w:rPr>
                <w:b/>
                <w:sz w:val="24"/>
                <w:lang w:eastAsia="de-DE"/>
              </w:rPr>
              <w:t>Prinzipien</w:t>
            </w:r>
          </w:p>
        </w:tc>
        <w:tc>
          <w:tcPr>
            <w:tcW w:w="1134" w:type="dxa"/>
            <w:shd w:val="clear" w:color="auto" w:fill="D9D9D9" w:themeFill="background1" w:themeFillShade="D9"/>
          </w:tcPr>
          <w:p w14:paraId="699F5D72" w14:textId="77777777" w:rsidR="002E2596" w:rsidRPr="002E2596" w:rsidRDefault="002E2596" w:rsidP="002E2596">
            <w:pPr>
              <w:spacing w:line="276" w:lineRule="auto"/>
              <w:jc w:val="center"/>
              <w:rPr>
                <w:b/>
                <w:sz w:val="24"/>
                <w:lang w:eastAsia="de-DE"/>
              </w:rPr>
            </w:pPr>
            <w:r w:rsidRPr="002E2596">
              <w:rPr>
                <w:b/>
                <w:sz w:val="24"/>
                <w:lang w:eastAsia="de-DE"/>
              </w:rPr>
              <w:t>Trifft zu</w:t>
            </w:r>
          </w:p>
        </w:tc>
      </w:tr>
      <w:tr w:rsidR="002E2596" w:rsidRPr="002E2596" w14:paraId="00C39107" w14:textId="77777777" w:rsidTr="00DF6BFC">
        <w:tc>
          <w:tcPr>
            <w:tcW w:w="1391" w:type="dxa"/>
            <w:vMerge w:val="restart"/>
          </w:tcPr>
          <w:p w14:paraId="622BF54C" w14:textId="58C20120" w:rsidR="002E2596" w:rsidRPr="002E2596" w:rsidRDefault="002E2596" w:rsidP="007E6AA5">
            <w:pPr>
              <w:spacing w:line="276" w:lineRule="auto"/>
              <w:rPr>
                <w:sz w:val="24"/>
                <w:lang w:eastAsia="de-DE"/>
              </w:rPr>
            </w:pPr>
            <w:r w:rsidRPr="002E2596">
              <w:rPr>
                <w:sz w:val="24"/>
                <w:lang w:eastAsia="de-DE"/>
              </w:rPr>
              <w:t xml:space="preserve">Spielenden </w:t>
            </w:r>
            <w:r w:rsidR="007E6AA5">
              <w:rPr>
                <w:sz w:val="24"/>
                <w:lang w:eastAsia="de-DE"/>
              </w:rPr>
              <w:t>Handlungsspielräume eröffnen</w:t>
            </w:r>
          </w:p>
        </w:tc>
        <w:tc>
          <w:tcPr>
            <w:tcW w:w="6547" w:type="dxa"/>
          </w:tcPr>
          <w:p w14:paraId="4B6E5946" w14:textId="2AE9CA21" w:rsidR="002E2596" w:rsidRPr="002E2596" w:rsidRDefault="002E2596" w:rsidP="002E2596">
            <w:pPr>
              <w:spacing w:line="276" w:lineRule="auto"/>
              <w:rPr>
                <w:sz w:val="24"/>
                <w:lang w:eastAsia="de-DE"/>
              </w:rPr>
            </w:pPr>
            <w:r w:rsidRPr="002E2596">
              <w:rPr>
                <w:sz w:val="24"/>
                <w:lang w:eastAsia="de-DE"/>
              </w:rPr>
              <w:t xml:space="preserve">Spielende sind Produzenten, d.h. durch ihre Entscheidungen wird das Spiel beeinflusst und die Spielwelt mitgestaltet. Interaktivität und individuelle Spielverläufe sind möglich. </w:t>
            </w:r>
            <w:r w:rsidR="007E6AA5">
              <w:rPr>
                <w:sz w:val="24"/>
                <w:lang w:eastAsia="de-DE"/>
              </w:rPr>
              <w:t>Spielende erleben sich als handlungs- und selbstwirksam.</w:t>
            </w:r>
          </w:p>
        </w:tc>
        <w:tc>
          <w:tcPr>
            <w:tcW w:w="1134" w:type="dxa"/>
            <w:tcBorders>
              <w:left w:val="single" w:sz="4" w:space="0" w:color="auto"/>
              <w:right w:val="single" w:sz="4" w:space="0" w:color="auto"/>
            </w:tcBorders>
            <w:shd w:val="clear" w:color="auto" w:fill="auto"/>
            <w:vAlign w:val="center"/>
          </w:tcPr>
          <w:p w14:paraId="6363A526"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52D014FC" w14:textId="77777777" w:rsidTr="00DF6BFC">
        <w:tc>
          <w:tcPr>
            <w:tcW w:w="1391" w:type="dxa"/>
            <w:vMerge/>
          </w:tcPr>
          <w:p w14:paraId="699F746F" w14:textId="77777777" w:rsidR="002E2596" w:rsidRPr="002E2596" w:rsidRDefault="002E2596" w:rsidP="002E2596">
            <w:pPr>
              <w:spacing w:line="276" w:lineRule="auto"/>
              <w:rPr>
                <w:sz w:val="24"/>
                <w:lang w:eastAsia="de-DE"/>
              </w:rPr>
            </w:pPr>
          </w:p>
        </w:tc>
        <w:tc>
          <w:tcPr>
            <w:tcW w:w="6547" w:type="dxa"/>
          </w:tcPr>
          <w:p w14:paraId="2542BDB0" w14:textId="147EB1C5" w:rsidR="002E2596" w:rsidRPr="002E2596" w:rsidRDefault="002E2596" w:rsidP="002E2596">
            <w:pPr>
              <w:spacing w:line="276" w:lineRule="auto"/>
              <w:rPr>
                <w:sz w:val="24"/>
                <w:lang w:eastAsia="de-DE"/>
              </w:rPr>
            </w:pPr>
            <w:r w:rsidRPr="002E2596">
              <w:rPr>
                <w:sz w:val="24"/>
                <w:lang w:eastAsia="de-DE"/>
              </w:rPr>
              <w:t>Das Spiel ist an persönliche Gewohnheiten anpassbar, d.h. es kann mit verschiedenen Spielstrategien gespielt werden. Wenn überhaupt lenkt das Spiel die Spielenden nur behutsam zu erfolgreichen Strategien.</w:t>
            </w:r>
            <w:r w:rsidR="007E6AA5">
              <w:rPr>
                <w:sz w:val="24"/>
                <w:lang w:eastAsia="de-DE"/>
              </w:rPr>
              <w:t xml:space="preserve"> Das Spiel lässt Raum für Individualität.</w:t>
            </w:r>
          </w:p>
        </w:tc>
        <w:tc>
          <w:tcPr>
            <w:tcW w:w="1134" w:type="dxa"/>
            <w:tcBorders>
              <w:left w:val="single" w:sz="4" w:space="0" w:color="auto"/>
              <w:right w:val="single" w:sz="4" w:space="0" w:color="auto"/>
            </w:tcBorders>
            <w:shd w:val="clear" w:color="auto" w:fill="auto"/>
            <w:vAlign w:val="center"/>
          </w:tcPr>
          <w:p w14:paraId="0C73D571"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525685E3" w14:textId="77777777" w:rsidTr="00DF6BFC">
        <w:tc>
          <w:tcPr>
            <w:tcW w:w="1391" w:type="dxa"/>
            <w:vMerge/>
          </w:tcPr>
          <w:p w14:paraId="13C1E596" w14:textId="77777777" w:rsidR="002E2596" w:rsidRPr="002E2596" w:rsidRDefault="002E2596" w:rsidP="002E2596">
            <w:pPr>
              <w:spacing w:line="276" w:lineRule="auto"/>
              <w:rPr>
                <w:sz w:val="24"/>
                <w:lang w:eastAsia="de-DE"/>
              </w:rPr>
            </w:pPr>
          </w:p>
        </w:tc>
        <w:tc>
          <w:tcPr>
            <w:tcW w:w="6547" w:type="dxa"/>
          </w:tcPr>
          <w:p w14:paraId="10915D66" w14:textId="6A2E67EF" w:rsidR="002E2596" w:rsidRPr="002E2596" w:rsidRDefault="002E2596" w:rsidP="002E2596">
            <w:pPr>
              <w:spacing w:line="276" w:lineRule="auto"/>
              <w:rPr>
                <w:sz w:val="24"/>
                <w:lang w:eastAsia="de-DE"/>
              </w:rPr>
            </w:pPr>
            <w:r w:rsidRPr="002E2596">
              <w:rPr>
                <w:sz w:val="24"/>
                <w:lang w:eastAsia="de-DE"/>
              </w:rPr>
              <w:t>Es ist ein Spiel mit Identitäten möglich, d.h. Spielende können neue / andere Rollen einnehmen und mit diesen experimentieren.</w:t>
            </w:r>
            <w:r w:rsidR="007E6AA5">
              <w:rPr>
                <w:sz w:val="24"/>
                <w:lang w:eastAsia="de-DE"/>
              </w:rPr>
              <w:t xml:space="preserve"> Das Spiel bietet Experimentierräume, in denen Grenzüberschreitungen möglich sind.</w:t>
            </w:r>
          </w:p>
        </w:tc>
        <w:tc>
          <w:tcPr>
            <w:tcW w:w="1134" w:type="dxa"/>
            <w:tcBorders>
              <w:left w:val="single" w:sz="4" w:space="0" w:color="auto"/>
              <w:right w:val="single" w:sz="4" w:space="0" w:color="auto"/>
            </w:tcBorders>
            <w:shd w:val="clear" w:color="auto" w:fill="auto"/>
            <w:vAlign w:val="center"/>
          </w:tcPr>
          <w:p w14:paraId="33B8C47C"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45530B39" w14:textId="77777777" w:rsidTr="00DF6BFC">
        <w:tc>
          <w:tcPr>
            <w:tcW w:w="1391" w:type="dxa"/>
            <w:vMerge/>
          </w:tcPr>
          <w:p w14:paraId="5C5B422F" w14:textId="77777777" w:rsidR="002E2596" w:rsidRPr="002E2596" w:rsidRDefault="002E2596" w:rsidP="002E2596">
            <w:pPr>
              <w:spacing w:line="276" w:lineRule="auto"/>
              <w:rPr>
                <w:sz w:val="24"/>
                <w:lang w:eastAsia="de-DE"/>
              </w:rPr>
            </w:pPr>
          </w:p>
        </w:tc>
        <w:tc>
          <w:tcPr>
            <w:tcW w:w="6547" w:type="dxa"/>
          </w:tcPr>
          <w:p w14:paraId="3406F46B" w14:textId="77777777" w:rsidR="002E2596" w:rsidRPr="002E2596" w:rsidRDefault="002E2596" w:rsidP="002E2596">
            <w:pPr>
              <w:spacing w:line="276" w:lineRule="auto"/>
              <w:rPr>
                <w:sz w:val="24"/>
                <w:lang w:eastAsia="de-DE"/>
              </w:rPr>
            </w:pPr>
            <w:r w:rsidRPr="002E2596">
              <w:rPr>
                <w:sz w:val="24"/>
                <w:lang w:eastAsia="de-DE"/>
              </w:rPr>
              <w:t>Das Spiel ist manipulierbar, d.h. Spielende verfügen im Spiel über mächtige Werkzeuge, um die Spielwelt zu beeinflussen. Dabei sollten Umfang und Komplexität der Manipulationsmöglichkeiten im Spiel den Fähigkeiten der Spieler angepasst sein.</w:t>
            </w:r>
          </w:p>
        </w:tc>
        <w:tc>
          <w:tcPr>
            <w:tcW w:w="1134" w:type="dxa"/>
            <w:tcBorders>
              <w:left w:val="single" w:sz="4" w:space="0" w:color="auto"/>
              <w:right w:val="single" w:sz="4" w:space="0" w:color="auto"/>
            </w:tcBorders>
            <w:shd w:val="clear" w:color="auto" w:fill="auto"/>
            <w:vAlign w:val="center"/>
          </w:tcPr>
          <w:p w14:paraId="09DB8391"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1972596E" w14:textId="77777777" w:rsidTr="00DF6BFC">
        <w:tc>
          <w:tcPr>
            <w:tcW w:w="1391" w:type="dxa"/>
            <w:vMerge w:val="restart"/>
          </w:tcPr>
          <w:p w14:paraId="1DE2505E" w14:textId="65D794B2" w:rsidR="002E2596" w:rsidRPr="002E2596" w:rsidRDefault="002E2596" w:rsidP="007E6AA5">
            <w:pPr>
              <w:spacing w:line="276" w:lineRule="auto"/>
              <w:rPr>
                <w:sz w:val="24"/>
                <w:lang w:eastAsia="de-DE"/>
              </w:rPr>
            </w:pPr>
            <w:r w:rsidRPr="002E2596">
              <w:rPr>
                <w:sz w:val="24"/>
                <w:lang w:eastAsia="de-DE"/>
              </w:rPr>
              <w:t xml:space="preserve">Kompetenz der Spielenden </w:t>
            </w:r>
            <w:r w:rsidR="007E6AA5">
              <w:rPr>
                <w:sz w:val="24"/>
                <w:lang w:eastAsia="de-DE"/>
              </w:rPr>
              <w:t>zum Lösen von Problemen fördern</w:t>
            </w:r>
          </w:p>
        </w:tc>
        <w:tc>
          <w:tcPr>
            <w:tcW w:w="6547" w:type="dxa"/>
          </w:tcPr>
          <w:p w14:paraId="0E31E4A4" w14:textId="77777777" w:rsidR="002E2596" w:rsidRPr="002E2596" w:rsidRDefault="002E2596" w:rsidP="002E2596">
            <w:pPr>
              <w:spacing w:line="276" w:lineRule="auto"/>
              <w:rPr>
                <w:sz w:val="24"/>
                <w:lang w:eastAsia="de-DE"/>
              </w:rPr>
            </w:pPr>
            <w:r w:rsidRPr="002E2596">
              <w:rPr>
                <w:sz w:val="24"/>
                <w:lang w:eastAsia="de-DE"/>
              </w:rPr>
              <w:t>Die Problemstellungen im Spiel sind vorstrukturiert, werden zunehmend komplexer und sind für die Spielenden fordernd. Spielende können auftretende Probleme selbstständig lösen. Sie erlernen Lösungsprinzipien anhand leichterer Problemstellungen und können diese später auf komplexere Probleme übertragen.</w:t>
            </w:r>
          </w:p>
        </w:tc>
        <w:tc>
          <w:tcPr>
            <w:tcW w:w="1134" w:type="dxa"/>
            <w:tcBorders>
              <w:left w:val="single" w:sz="4" w:space="0" w:color="auto"/>
              <w:right w:val="single" w:sz="4" w:space="0" w:color="auto"/>
            </w:tcBorders>
            <w:shd w:val="clear" w:color="auto" w:fill="auto"/>
            <w:vAlign w:val="center"/>
          </w:tcPr>
          <w:p w14:paraId="2B1D2DCA"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4C8D9F93" w14:textId="77777777" w:rsidTr="00DF6BFC">
        <w:tc>
          <w:tcPr>
            <w:tcW w:w="1391" w:type="dxa"/>
            <w:vMerge/>
          </w:tcPr>
          <w:p w14:paraId="52DD8988" w14:textId="77777777" w:rsidR="002E2596" w:rsidRPr="002E2596" w:rsidRDefault="002E2596" w:rsidP="002E2596">
            <w:pPr>
              <w:spacing w:line="276" w:lineRule="auto"/>
              <w:rPr>
                <w:sz w:val="24"/>
                <w:lang w:eastAsia="de-DE"/>
              </w:rPr>
            </w:pPr>
          </w:p>
        </w:tc>
        <w:tc>
          <w:tcPr>
            <w:tcW w:w="6547" w:type="dxa"/>
          </w:tcPr>
          <w:p w14:paraId="17F20591" w14:textId="2CE5F16C" w:rsidR="002E2596" w:rsidRPr="002E2596" w:rsidRDefault="002E2596" w:rsidP="002E2596">
            <w:pPr>
              <w:spacing w:line="276" w:lineRule="auto"/>
              <w:rPr>
                <w:sz w:val="24"/>
                <w:lang w:eastAsia="de-DE"/>
              </w:rPr>
            </w:pPr>
            <w:r w:rsidRPr="002E2596">
              <w:rPr>
                <w:sz w:val="24"/>
                <w:lang w:eastAsia="de-DE"/>
              </w:rPr>
              <w:t>Spielende erhalten für das Lösen von Problemen im Spiel ein positives Feedback. Dadurch erhalten ihre Anstrengungen einen Sinn.</w:t>
            </w:r>
            <w:r w:rsidR="007E77E9">
              <w:rPr>
                <w:sz w:val="24"/>
                <w:lang w:eastAsia="de-DE"/>
              </w:rPr>
              <w:t xml:space="preserve"> Spannung (Herausforderung) und Lösung (Erfolgserlebnis) wechseln sich ab.</w:t>
            </w:r>
          </w:p>
        </w:tc>
        <w:tc>
          <w:tcPr>
            <w:tcW w:w="1134" w:type="dxa"/>
            <w:tcBorders>
              <w:left w:val="single" w:sz="4" w:space="0" w:color="auto"/>
              <w:right w:val="single" w:sz="4" w:space="0" w:color="auto"/>
            </w:tcBorders>
            <w:shd w:val="clear" w:color="auto" w:fill="auto"/>
            <w:vAlign w:val="center"/>
          </w:tcPr>
          <w:p w14:paraId="3ACC5961"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1A2A492F" w14:textId="77777777" w:rsidTr="00DF6BFC">
        <w:tc>
          <w:tcPr>
            <w:tcW w:w="1391" w:type="dxa"/>
            <w:vMerge/>
          </w:tcPr>
          <w:p w14:paraId="702FB339" w14:textId="77777777" w:rsidR="002E2596" w:rsidRPr="002E2596" w:rsidRDefault="002E2596" w:rsidP="002E2596">
            <w:pPr>
              <w:spacing w:line="276" w:lineRule="auto"/>
              <w:rPr>
                <w:sz w:val="24"/>
                <w:lang w:eastAsia="de-DE"/>
              </w:rPr>
            </w:pPr>
          </w:p>
        </w:tc>
        <w:tc>
          <w:tcPr>
            <w:tcW w:w="6547" w:type="dxa"/>
          </w:tcPr>
          <w:p w14:paraId="70FB9654" w14:textId="77777777" w:rsidR="002E2596" w:rsidRPr="002E2596" w:rsidRDefault="002E2596" w:rsidP="002E2596">
            <w:pPr>
              <w:spacing w:line="276" w:lineRule="auto"/>
              <w:rPr>
                <w:sz w:val="24"/>
                <w:lang w:eastAsia="de-DE"/>
              </w:rPr>
            </w:pPr>
            <w:r w:rsidRPr="002E2596">
              <w:rPr>
                <w:sz w:val="24"/>
                <w:lang w:eastAsia="de-DE"/>
              </w:rPr>
              <w:t>Das Spiel verwendet abgestufte Levels und die Spiellevels bauen aufeinander auf. Die Spielenden arbeiten sich empor. Sie bleiben in einem Level, bis sie die entsprechenden Problemlösungen beherrschen.</w:t>
            </w:r>
          </w:p>
        </w:tc>
        <w:tc>
          <w:tcPr>
            <w:tcW w:w="1134" w:type="dxa"/>
            <w:tcBorders>
              <w:left w:val="single" w:sz="4" w:space="0" w:color="auto"/>
              <w:right w:val="single" w:sz="4" w:space="0" w:color="auto"/>
            </w:tcBorders>
            <w:shd w:val="clear" w:color="auto" w:fill="auto"/>
            <w:vAlign w:val="center"/>
          </w:tcPr>
          <w:p w14:paraId="7EC301D5"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0D808E80" w14:textId="77777777" w:rsidTr="00DF6BFC">
        <w:tc>
          <w:tcPr>
            <w:tcW w:w="1391" w:type="dxa"/>
            <w:vMerge/>
          </w:tcPr>
          <w:p w14:paraId="63464CD7" w14:textId="77777777" w:rsidR="002E2596" w:rsidRPr="002E2596" w:rsidRDefault="002E2596" w:rsidP="002E2596">
            <w:pPr>
              <w:spacing w:line="276" w:lineRule="auto"/>
              <w:rPr>
                <w:sz w:val="24"/>
                <w:lang w:eastAsia="de-DE"/>
              </w:rPr>
            </w:pPr>
          </w:p>
        </w:tc>
        <w:tc>
          <w:tcPr>
            <w:tcW w:w="6547" w:type="dxa"/>
          </w:tcPr>
          <w:p w14:paraId="1AFEB9DC" w14:textId="77777777" w:rsidR="002E2596" w:rsidRPr="002E2596" w:rsidRDefault="002E2596" w:rsidP="002E2596">
            <w:pPr>
              <w:spacing w:line="276" w:lineRule="auto"/>
              <w:rPr>
                <w:sz w:val="24"/>
                <w:lang w:eastAsia="de-DE"/>
              </w:rPr>
            </w:pPr>
            <w:r w:rsidRPr="002E2596">
              <w:rPr>
                <w:sz w:val="24"/>
                <w:lang w:eastAsia="de-DE"/>
              </w:rPr>
              <w:t>Das Spiel ist intuitiv und ohne (große) Einführung spielbar. Zudem lädt das Design des Spiels direkt zum Spielen ein. Erforderliche Informationen werden im Spiel just in time zur Verfügung gestellt.</w:t>
            </w:r>
          </w:p>
        </w:tc>
        <w:tc>
          <w:tcPr>
            <w:tcW w:w="1134" w:type="dxa"/>
            <w:tcBorders>
              <w:left w:val="single" w:sz="4" w:space="0" w:color="auto"/>
              <w:right w:val="single" w:sz="4" w:space="0" w:color="auto"/>
            </w:tcBorders>
            <w:shd w:val="clear" w:color="auto" w:fill="auto"/>
            <w:vAlign w:val="center"/>
          </w:tcPr>
          <w:p w14:paraId="392CFA06"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64A3FD6F" w14:textId="77777777" w:rsidTr="00DF6BFC">
        <w:tc>
          <w:tcPr>
            <w:tcW w:w="1391" w:type="dxa"/>
            <w:vMerge/>
          </w:tcPr>
          <w:p w14:paraId="17E78192" w14:textId="77777777" w:rsidR="002E2596" w:rsidRPr="002E2596" w:rsidRDefault="002E2596" w:rsidP="002E2596">
            <w:pPr>
              <w:spacing w:line="276" w:lineRule="auto"/>
              <w:rPr>
                <w:sz w:val="24"/>
                <w:lang w:eastAsia="de-DE"/>
              </w:rPr>
            </w:pPr>
          </w:p>
        </w:tc>
        <w:tc>
          <w:tcPr>
            <w:tcW w:w="6547" w:type="dxa"/>
          </w:tcPr>
          <w:p w14:paraId="276272F1" w14:textId="77777777" w:rsidR="002E2596" w:rsidRPr="002E2596" w:rsidRDefault="002E2596" w:rsidP="002E2596">
            <w:pPr>
              <w:spacing w:line="276" w:lineRule="auto"/>
              <w:rPr>
                <w:sz w:val="24"/>
                <w:lang w:eastAsia="de-DE"/>
              </w:rPr>
            </w:pPr>
            <w:r w:rsidRPr="002E2596">
              <w:rPr>
                <w:sz w:val="24"/>
                <w:lang w:eastAsia="de-DE"/>
              </w:rPr>
              <w:t>Die Komplexität im Spiel ist begrenzt und an die Lerninhalte angepasst (didaktische Reduktion). Auch die Einflussfaktoren in der Spielumgebung sind begrenzt, klar erkennbar und weisen eindeutige Wechselwirkungen auf.</w:t>
            </w:r>
          </w:p>
        </w:tc>
        <w:tc>
          <w:tcPr>
            <w:tcW w:w="1134" w:type="dxa"/>
            <w:tcBorders>
              <w:left w:val="single" w:sz="4" w:space="0" w:color="auto"/>
              <w:right w:val="single" w:sz="4" w:space="0" w:color="auto"/>
            </w:tcBorders>
            <w:shd w:val="clear" w:color="auto" w:fill="auto"/>
            <w:vAlign w:val="center"/>
          </w:tcPr>
          <w:p w14:paraId="06E0442C"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4CC9B813" w14:textId="77777777" w:rsidTr="00DF6BFC">
        <w:tc>
          <w:tcPr>
            <w:tcW w:w="1391" w:type="dxa"/>
            <w:vMerge/>
          </w:tcPr>
          <w:p w14:paraId="023E8709" w14:textId="77777777" w:rsidR="002E2596" w:rsidRPr="002E2596" w:rsidRDefault="002E2596" w:rsidP="002E2596">
            <w:pPr>
              <w:spacing w:line="276" w:lineRule="auto"/>
              <w:rPr>
                <w:sz w:val="24"/>
                <w:lang w:eastAsia="de-DE"/>
              </w:rPr>
            </w:pPr>
          </w:p>
        </w:tc>
        <w:tc>
          <w:tcPr>
            <w:tcW w:w="6547" w:type="dxa"/>
          </w:tcPr>
          <w:p w14:paraId="33CF137A" w14:textId="77777777" w:rsidR="002E2596" w:rsidRPr="002E2596" w:rsidRDefault="002E2596" w:rsidP="002E2596">
            <w:pPr>
              <w:spacing w:line="276" w:lineRule="auto"/>
              <w:rPr>
                <w:sz w:val="24"/>
                <w:lang w:eastAsia="de-DE"/>
              </w:rPr>
            </w:pPr>
            <w:r w:rsidRPr="002E2596">
              <w:rPr>
                <w:sz w:val="24"/>
                <w:lang w:eastAsia="de-DE"/>
              </w:rPr>
              <w:t>Das Spielen findet in geschützten Lernräumen statt, auch wenn möglichst reale Bedingungen simuliert werden. Fehler bleiben, gerade in unteren Levels, ohne ernste Konsequenzen bzw. Spielende erhalten entsprechende Warnhinweise. Spielrisiken, z.B. Punkteverlust, steigen erst auf höheren Leveln an.</w:t>
            </w:r>
          </w:p>
        </w:tc>
        <w:tc>
          <w:tcPr>
            <w:tcW w:w="1134" w:type="dxa"/>
            <w:tcBorders>
              <w:left w:val="single" w:sz="4" w:space="0" w:color="auto"/>
              <w:right w:val="single" w:sz="4" w:space="0" w:color="auto"/>
            </w:tcBorders>
            <w:shd w:val="clear" w:color="auto" w:fill="auto"/>
            <w:vAlign w:val="center"/>
          </w:tcPr>
          <w:p w14:paraId="2A2AF36F"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13D8E740" w14:textId="77777777" w:rsidTr="00DF6BFC">
        <w:tc>
          <w:tcPr>
            <w:tcW w:w="1391" w:type="dxa"/>
            <w:vMerge/>
          </w:tcPr>
          <w:p w14:paraId="71A78711" w14:textId="77777777" w:rsidR="002E2596" w:rsidRPr="002E2596" w:rsidRDefault="002E2596" w:rsidP="002E2596">
            <w:pPr>
              <w:spacing w:line="276" w:lineRule="auto"/>
              <w:rPr>
                <w:sz w:val="24"/>
                <w:lang w:eastAsia="de-DE"/>
              </w:rPr>
            </w:pPr>
          </w:p>
        </w:tc>
        <w:tc>
          <w:tcPr>
            <w:tcW w:w="6547" w:type="dxa"/>
          </w:tcPr>
          <w:p w14:paraId="42F59308" w14:textId="77777777" w:rsidR="002E2596" w:rsidRPr="002E2596" w:rsidRDefault="002E2596" w:rsidP="002E2596">
            <w:pPr>
              <w:spacing w:line="276" w:lineRule="auto"/>
              <w:rPr>
                <w:sz w:val="24"/>
                <w:lang w:eastAsia="de-DE"/>
              </w:rPr>
            </w:pPr>
            <w:r w:rsidRPr="002E2596">
              <w:rPr>
                <w:sz w:val="24"/>
                <w:lang w:eastAsia="de-DE"/>
              </w:rPr>
              <w:t>Im Spiel sind zielorientierte Übungen vorhanden, um Fertigkeiten, Fähigkeiten und Kenntnisse zu üben und zu festigen. Dabei sind Übungen in Zusammenhänge eingebettet und dienen der Zielerreichung der Spielenden.</w:t>
            </w:r>
          </w:p>
        </w:tc>
        <w:tc>
          <w:tcPr>
            <w:tcW w:w="1134" w:type="dxa"/>
            <w:tcBorders>
              <w:left w:val="single" w:sz="4" w:space="0" w:color="auto"/>
              <w:right w:val="single" w:sz="4" w:space="0" w:color="auto"/>
            </w:tcBorders>
            <w:shd w:val="clear" w:color="auto" w:fill="auto"/>
            <w:vAlign w:val="center"/>
          </w:tcPr>
          <w:p w14:paraId="62167D7C"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17E571AC" w14:textId="77777777" w:rsidTr="00DF6BFC">
        <w:tc>
          <w:tcPr>
            <w:tcW w:w="1391" w:type="dxa"/>
            <w:vMerge w:val="restart"/>
          </w:tcPr>
          <w:p w14:paraId="032C36A1" w14:textId="319E1948" w:rsidR="002E2596" w:rsidRPr="002E2596" w:rsidRDefault="002E2596" w:rsidP="007E6AA5">
            <w:pPr>
              <w:spacing w:line="276" w:lineRule="auto"/>
              <w:rPr>
                <w:sz w:val="24"/>
                <w:lang w:eastAsia="de-DE"/>
              </w:rPr>
            </w:pPr>
            <w:r w:rsidRPr="002E2596">
              <w:rPr>
                <w:sz w:val="24"/>
                <w:lang w:eastAsia="de-DE"/>
              </w:rPr>
              <w:t>Verständnis der Lernenden von k</w:t>
            </w:r>
            <w:r w:rsidR="007E6AA5">
              <w:rPr>
                <w:sz w:val="24"/>
                <w:lang w:eastAsia="de-DE"/>
              </w:rPr>
              <w:t>omplexen Zusammenhängen fördern</w:t>
            </w:r>
          </w:p>
        </w:tc>
        <w:tc>
          <w:tcPr>
            <w:tcW w:w="6547" w:type="dxa"/>
          </w:tcPr>
          <w:p w14:paraId="523870B1" w14:textId="77777777" w:rsidR="002E2596" w:rsidRPr="002E2596" w:rsidRDefault="002E2596" w:rsidP="002E2596">
            <w:pPr>
              <w:spacing w:line="276" w:lineRule="auto"/>
              <w:rPr>
                <w:sz w:val="24"/>
                <w:lang w:eastAsia="de-DE"/>
              </w:rPr>
            </w:pPr>
            <w:r w:rsidRPr="002E2596">
              <w:rPr>
                <w:sz w:val="24"/>
                <w:lang w:eastAsia="de-DE"/>
              </w:rPr>
              <w:t>Im Spiel wird Systemdenken gefördert. Einzelne Abschnitte des Spiels stehen in erkennbarem Zusammenhang zum Ziel des Spiels. Das Spiel erfordert von den Spielenden das Planen, Vornehmen von Gewichtigen und Abschätzen von Wechselwirkungen.</w:t>
            </w:r>
          </w:p>
        </w:tc>
        <w:tc>
          <w:tcPr>
            <w:tcW w:w="1134" w:type="dxa"/>
            <w:tcBorders>
              <w:left w:val="single" w:sz="4" w:space="0" w:color="auto"/>
              <w:right w:val="single" w:sz="4" w:space="0" w:color="auto"/>
            </w:tcBorders>
            <w:shd w:val="clear" w:color="auto" w:fill="auto"/>
            <w:vAlign w:val="center"/>
          </w:tcPr>
          <w:p w14:paraId="5A48049A"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r w:rsidR="002E2596" w:rsidRPr="002E2596" w14:paraId="5FC35D05" w14:textId="77777777" w:rsidTr="00DF6BFC">
        <w:tc>
          <w:tcPr>
            <w:tcW w:w="1391" w:type="dxa"/>
            <w:vMerge/>
          </w:tcPr>
          <w:p w14:paraId="58469246" w14:textId="77777777" w:rsidR="002E2596" w:rsidRPr="002E2596" w:rsidRDefault="002E2596" w:rsidP="002E2596">
            <w:pPr>
              <w:spacing w:line="276" w:lineRule="auto"/>
              <w:rPr>
                <w:sz w:val="24"/>
                <w:lang w:eastAsia="de-DE"/>
              </w:rPr>
            </w:pPr>
          </w:p>
        </w:tc>
        <w:tc>
          <w:tcPr>
            <w:tcW w:w="6547" w:type="dxa"/>
          </w:tcPr>
          <w:p w14:paraId="26666983" w14:textId="77777777" w:rsidR="002E2596" w:rsidRPr="002E2596" w:rsidRDefault="002E2596" w:rsidP="002E2596">
            <w:pPr>
              <w:spacing w:line="276" w:lineRule="auto"/>
              <w:rPr>
                <w:sz w:val="24"/>
                <w:lang w:eastAsia="de-DE"/>
              </w:rPr>
            </w:pPr>
            <w:r w:rsidRPr="002E2596">
              <w:rPr>
                <w:sz w:val="24"/>
                <w:lang w:eastAsia="de-DE"/>
              </w:rPr>
              <w:t>Das Spiel öffnet Lernenden Erfahrungswelten, in denen sie Erfahrungen machen können. Das Spiel verbindet theoretisches Wissen mit konkreten Handlungen. Wissen wird durch Aktionen der Spielenden erworben und geübt.</w:t>
            </w:r>
          </w:p>
        </w:tc>
        <w:tc>
          <w:tcPr>
            <w:tcW w:w="1134" w:type="dxa"/>
            <w:tcBorders>
              <w:left w:val="single" w:sz="4" w:space="0" w:color="auto"/>
              <w:right w:val="single" w:sz="4" w:space="0" w:color="auto"/>
            </w:tcBorders>
            <w:shd w:val="clear" w:color="auto" w:fill="auto"/>
            <w:vAlign w:val="center"/>
          </w:tcPr>
          <w:p w14:paraId="41EA9783" w14:textId="77777777" w:rsidR="002E2596" w:rsidRPr="002E2596" w:rsidRDefault="002E2596" w:rsidP="002E2596">
            <w:pPr>
              <w:spacing w:line="276" w:lineRule="auto"/>
              <w:jc w:val="center"/>
              <w:rPr>
                <w:sz w:val="24"/>
                <w:lang w:eastAsia="de-DE"/>
              </w:rPr>
            </w:pPr>
            <w:r w:rsidRPr="002E2596">
              <w:rPr>
                <w:sz w:val="24"/>
                <w:lang w:eastAsia="de-DE"/>
              </w:rPr>
              <w:fldChar w:fldCharType="begin">
                <w:ffData>
                  <w:name w:val="Kontrollkästchen1"/>
                  <w:enabled/>
                  <w:calcOnExit w:val="0"/>
                  <w:checkBox>
                    <w:size w:val="32"/>
                    <w:default w:val="0"/>
                    <w:checked w:val="0"/>
                  </w:checkBox>
                </w:ffData>
              </w:fldChar>
            </w:r>
            <w:r w:rsidRPr="002E2596">
              <w:rPr>
                <w:sz w:val="24"/>
                <w:lang w:eastAsia="de-DE"/>
              </w:rPr>
              <w:instrText xml:space="preserve"> FORMCHECKBOX </w:instrText>
            </w:r>
            <w:r w:rsidR="00DF084A">
              <w:rPr>
                <w:sz w:val="24"/>
                <w:lang w:eastAsia="de-DE"/>
              </w:rPr>
            </w:r>
            <w:r w:rsidR="00DF084A">
              <w:rPr>
                <w:sz w:val="24"/>
                <w:lang w:eastAsia="de-DE"/>
              </w:rPr>
              <w:fldChar w:fldCharType="separate"/>
            </w:r>
            <w:r w:rsidRPr="002E2596">
              <w:rPr>
                <w:sz w:val="24"/>
                <w:lang w:eastAsia="de-DE"/>
              </w:rPr>
              <w:fldChar w:fldCharType="end"/>
            </w:r>
          </w:p>
        </w:tc>
      </w:tr>
    </w:tbl>
    <w:p w14:paraId="044E028E" w14:textId="0C60548F" w:rsidR="007E6AA5" w:rsidRDefault="007E6AA5" w:rsidP="00F45693">
      <w:pPr>
        <w:spacing w:line="276" w:lineRule="auto"/>
        <w:rPr>
          <w:sz w:val="24"/>
          <w:lang w:eastAsia="de-DE"/>
        </w:rPr>
      </w:pPr>
    </w:p>
    <w:p w14:paraId="6698B53C" w14:textId="2E12BD27" w:rsidR="00575152" w:rsidRDefault="00575152" w:rsidP="00F45693">
      <w:pPr>
        <w:spacing w:line="276" w:lineRule="auto"/>
        <w:rPr>
          <w:sz w:val="24"/>
          <w:lang w:eastAsia="de-DE"/>
        </w:rPr>
      </w:pPr>
    </w:p>
    <w:p w14:paraId="1FEF39D1" w14:textId="2684A990" w:rsidR="00575152" w:rsidRDefault="00575152" w:rsidP="00F45693">
      <w:pPr>
        <w:spacing w:line="276" w:lineRule="auto"/>
        <w:rPr>
          <w:sz w:val="24"/>
          <w:lang w:eastAsia="de-DE"/>
        </w:rPr>
      </w:pPr>
    </w:p>
    <w:p w14:paraId="4A69BD7F" w14:textId="5DADE838" w:rsidR="00575152" w:rsidRDefault="00575152" w:rsidP="00F45693">
      <w:pPr>
        <w:spacing w:line="276" w:lineRule="auto"/>
        <w:rPr>
          <w:sz w:val="24"/>
          <w:lang w:eastAsia="de-DE"/>
        </w:rPr>
      </w:pPr>
    </w:p>
    <w:p w14:paraId="73B28C53" w14:textId="77777777" w:rsidR="00575152" w:rsidRDefault="00575152" w:rsidP="00F45693">
      <w:pPr>
        <w:spacing w:line="276" w:lineRule="auto"/>
        <w:rPr>
          <w:sz w:val="24"/>
          <w:lang w:eastAsia="de-DE"/>
        </w:rPr>
      </w:pPr>
    </w:p>
    <w:p w14:paraId="124980BF" w14:textId="7F10368A" w:rsidR="005A7562" w:rsidRPr="00AA2652" w:rsidRDefault="002E2596" w:rsidP="005A7562">
      <w:pPr>
        <w:pStyle w:val="berschrift2"/>
        <w:spacing w:before="360" w:line="276" w:lineRule="auto"/>
        <w:rPr>
          <w:lang w:val="en-US"/>
        </w:rPr>
      </w:pPr>
      <w:r w:rsidRPr="00AA2652">
        <w:rPr>
          <w:lang w:val="en-US"/>
        </w:rPr>
        <w:lastRenderedPageBreak/>
        <w:t>Liter</w:t>
      </w:r>
      <w:r w:rsidR="005C7E92">
        <w:rPr>
          <w:lang w:val="en-US"/>
        </w:rPr>
        <w:t>a</w:t>
      </w:r>
      <w:bookmarkStart w:id="0" w:name="_GoBack"/>
      <w:bookmarkEnd w:id="0"/>
      <w:r w:rsidRPr="00AA2652">
        <w:rPr>
          <w:lang w:val="en-US"/>
        </w:rPr>
        <w:t>tur und Quellen</w:t>
      </w:r>
    </w:p>
    <w:p w14:paraId="11EE3E26" w14:textId="77777777" w:rsidR="007E5E87" w:rsidRDefault="00204C02" w:rsidP="007E5E87">
      <w:pPr>
        <w:spacing w:after="120" w:line="276" w:lineRule="auto"/>
        <w:ind w:left="567" w:hanging="567"/>
        <w:rPr>
          <w:sz w:val="24"/>
          <w:lang w:val="en-US" w:eastAsia="de-DE"/>
        </w:rPr>
      </w:pPr>
      <w:r w:rsidRPr="00204C02">
        <w:rPr>
          <w:sz w:val="24"/>
          <w:lang w:val="en-US" w:eastAsia="de-DE"/>
        </w:rPr>
        <w:t xml:space="preserve">Gee, J. P. (2005), „Learning by Design: good video games as learning machines“, In </w:t>
      </w:r>
      <w:r>
        <w:rPr>
          <w:i/>
          <w:sz w:val="24"/>
          <w:lang w:val="en-US" w:eastAsia="de-DE"/>
        </w:rPr>
        <w:t>E-Learning</w:t>
      </w:r>
      <w:r w:rsidR="00E411A6">
        <w:rPr>
          <w:i/>
          <w:sz w:val="24"/>
          <w:lang w:val="en-US" w:eastAsia="de-DE"/>
        </w:rPr>
        <w:t xml:space="preserve"> and Digital </w:t>
      </w:r>
      <w:proofErr w:type="spellStart"/>
      <w:r w:rsidR="00E411A6">
        <w:rPr>
          <w:i/>
          <w:sz w:val="24"/>
          <w:lang w:val="en-US" w:eastAsia="de-DE"/>
        </w:rPr>
        <w:t>Medie</w:t>
      </w:r>
      <w:proofErr w:type="spellEnd"/>
      <w:r>
        <w:rPr>
          <w:i/>
          <w:sz w:val="24"/>
          <w:lang w:val="en-US" w:eastAsia="de-DE"/>
        </w:rPr>
        <w:t xml:space="preserve">, </w:t>
      </w:r>
      <w:r>
        <w:rPr>
          <w:sz w:val="24"/>
          <w:lang w:val="en-US" w:eastAsia="de-DE"/>
        </w:rPr>
        <w:t xml:space="preserve">Vol. 2, No 1, S. </w:t>
      </w:r>
      <w:r w:rsidR="00E411A6">
        <w:rPr>
          <w:sz w:val="24"/>
          <w:lang w:val="en-US" w:eastAsia="de-DE"/>
        </w:rPr>
        <w:t xml:space="preserve">5-16, DOI: </w:t>
      </w:r>
      <w:r w:rsidR="00E411A6" w:rsidRPr="00E411A6">
        <w:rPr>
          <w:sz w:val="24"/>
          <w:lang w:val="en-US" w:eastAsia="de-DE"/>
        </w:rPr>
        <w:t>10.2304</w:t>
      </w:r>
      <w:r w:rsidR="00E411A6">
        <w:rPr>
          <w:sz w:val="24"/>
          <w:lang w:val="en-US" w:eastAsia="de-DE"/>
        </w:rPr>
        <w:t>/</w:t>
      </w:r>
      <w:r w:rsidR="00E411A6" w:rsidRPr="00E411A6">
        <w:rPr>
          <w:sz w:val="24"/>
          <w:lang w:val="en-US" w:eastAsia="de-DE"/>
        </w:rPr>
        <w:t>elea.2005.2.1.5</w:t>
      </w:r>
    </w:p>
    <w:p w14:paraId="567D2163" w14:textId="2355C143" w:rsidR="007E77E9" w:rsidRPr="007E77E9" w:rsidRDefault="007E77E9" w:rsidP="007E5E87">
      <w:pPr>
        <w:spacing w:after="120" w:line="276" w:lineRule="auto"/>
        <w:ind w:left="567" w:hanging="567"/>
        <w:rPr>
          <w:sz w:val="24"/>
          <w:lang w:eastAsia="de-DE"/>
        </w:rPr>
      </w:pPr>
      <w:r>
        <w:rPr>
          <w:sz w:val="24"/>
          <w:lang w:eastAsia="de-DE"/>
        </w:rPr>
        <w:t xml:space="preserve">Klimmt, C. (2008), „Unterhaltungserleben beim Computerspielen: Theorie, Experimente, (pädagogische) Anwendungsperspektiven“, In </w:t>
      </w:r>
      <w:proofErr w:type="spellStart"/>
      <w:r>
        <w:rPr>
          <w:sz w:val="24"/>
          <w:lang w:eastAsia="de-DE"/>
        </w:rPr>
        <w:t>Mitgutsch</w:t>
      </w:r>
      <w:proofErr w:type="spellEnd"/>
      <w:r>
        <w:rPr>
          <w:sz w:val="24"/>
          <w:lang w:eastAsia="de-DE"/>
        </w:rPr>
        <w:t xml:space="preserve">, K. und </w:t>
      </w:r>
      <w:proofErr w:type="spellStart"/>
      <w:r>
        <w:rPr>
          <w:sz w:val="24"/>
          <w:lang w:eastAsia="de-DE"/>
        </w:rPr>
        <w:t>Rosenstingl</w:t>
      </w:r>
      <w:proofErr w:type="spellEnd"/>
      <w:r>
        <w:rPr>
          <w:sz w:val="24"/>
          <w:lang w:eastAsia="de-DE"/>
        </w:rPr>
        <w:t xml:space="preserve">, H. (Hrsg.), </w:t>
      </w:r>
      <w:r>
        <w:rPr>
          <w:i/>
          <w:sz w:val="24"/>
          <w:lang w:eastAsia="de-DE"/>
        </w:rPr>
        <w:t>Faszination Computerspielen: Theorie – Kultur – Erleben</w:t>
      </w:r>
      <w:r>
        <w:rPr>
          <w:sz w:val="24"/>
          <w:lang w:eastAsia="de-DE"/>
        </w:rPr>
        <w:t>, Braumüller, Wien, S. 7-17.</w:t>
      </w:r>
    </w:p>
    <w:p w14:paraId="7A2F9220" w14:textId="0AE035D0" w:rsidR="007E5E87" w:rsidRDefault="007E5E87" w:rsidP="007E5E87">
      <w:pPr>
        <w:spacing w:after="120" w:line="276" w:lineRule="auto"/>
        <w:ind w:left="567" w:hanging="567"/>
        <w:rPr>
          <w:sz w:val="24"/>
          <w:lang w:eastAsia="de-DE"/>
        </w:rPr>
      </w:pPr>
      <w:proofErr w:type="spellStart"/>
      <w:r>
        <w:rPr>
          <w:sz w:val="24"/>
          <w:lang w:eastAsia="de-DE"/>
        </w:rPr>
        <w:t>Pfannstiel</w:t>
      </w:r>
      <w:proofErr w:type="spellEnd"/>
      <w:r>
        <w:rPr>
          <w:sz w:val="24"/>
          <w:lang w:eastAsia="de-DE"/>
        </w:rPr>
        <w:t>, J., Sänger, V. und Schmidt, C. (2009), „Game-</w:t>
      </w:r>
      <w:proofErr w:type="spellStart"/>
      <w:r>
        <w:rPr>
          <w:sz w:val="24"/>
          <w:lang w:eastAsia="de-DE"/>
        </w:rPr>
        <w:t>based</w:t>
      </w:r>
      <w:proofErr w:type="spellEnd"/>
      <w:r>
        <w:rPr>
          <w:sz w:val="24"/>
          <w:lang w:eastAsia="de-DE"/>
        </w:rPr>
        <w:t xml:space="preserve"> Learning im Bildungskontext einer Hochschule – ein Praxisbericht“, In </w:t>
      </w:r>
      <w:proofErr w:type="spellStart"/>
      <w:r>
        <w:rPr>
          <w:i/>
          <w:sz w:val="24"/>
          <w:lang w:eastAsia="de-DE"/>
        </w:rPr>
        <w:t>MedienPädagogik</w:t>
      </w:r>
      <w:proofErr w:type="spellEnd"/>
      <w:r>
        <w:rPr>
          <w:sz w:val="24"/>
          <w:lang w:eastAsia="de-DE"/>
        </w:rPr>
        <w:t xml:space="preserve">, Themenheft 15/16, [online], URL: </w:t>
      </w:r>
      <w:hyperlink r:id="rId9" w:history="1">
        <w:r w:rsidRPr="00CC5B78">
          <w:rPr>
            <w:rStyle w:val="Hyperlink"/>
            <w:sz w:val="24"/>
            <w:lang w:eastAsia="de-DE"/>
          </w:rPr>
          <w:t>http://www.medienpaed.com/article/download/102/102</w:t>
        </w:r>
      </w:hyperlink>
      <w:r>
        <w:rPr>
          <w:sz w:val="24"/>
          <w:lang w:eastAsia="de-DE"/>
        </w:rPr>
        <w:t xml:space="preserve"> (Lizenz: CC BY 4.0)</w:t>
      </w:r>
    </w:p>
    <w:p w14:paraId="2852866B" w14:textId="27D6E583" w:rsidR="00DF6BFC" w:rsidRPr="00DF6BFC" w:rsidRDefault="00DF6BFC" w:rsidP="007E5E87">
      <w:pPr>
        <w:spacing w:after="120" w:line="276" w:lineRule="auto"/>
        <w:ind w:left="567" w:hanging="567"/>
        <w:rPr>
          <w:sz w:val="24"/>
          <w:lang w:eastAsia="de-DE"/>
        </w:rPr>
      </w:pPr>
      <w:r>
        <w:rPr>
          <w:sz w:val="24"/>
          <w:lang w:eastAsia="de-DE"/>
        </w:rPr>
        <w:t>Schachtner, C. (2012)</w:t>
      </w:r>
      <w:r w:rsidR="00A441F2">
        <w:rPr>
          <w:sz w:val="24"/>
          <w:lang w:eastAsia="de-DE"/>
        </w:rPr>
        <w:t>,</w:t>
      </w:r>
      <w:r>
        <w:rPr>
          <w:sz w:val="24"/>
          <w:lang w:eastAsia="de-DE"/>
        </w:rPr>
        <w:t xml:space="preserve"> „Spiel-Räume: Was die Faszination von Computer- und Online-Spielen über die Lebens- und Zukunftswünsche der Jugend sagt“, In </w:t>
      </w:r>
      <w:proofErr w:type="spellStart"/>
      <w:r>
        <w:rPr>
          <w:sz w:val="24"/>
          <w:lang w:eastAsia="de-DE"/>
        </w:rPr>
        <w:t>Bukow</w:t>
      </w:r>
      <w:proofErr w:type="spellEnd"/>
      <w:r>
        <w:rPr>
          <w:sz w:val="24"/>
          <w:lang w:eastAsia="de-DE"/>
        </w:rPr>
        <w:t xml:space="preserve">, G. C., Fromme, J., </w:t>
      </w:r>
      <w:proofErr w:type="spellStart"/>
      <w:r>
        <w:rPr>
          <w:sz w:val="24"/>
          <w:lang w:eastAsia="de-DE"/>
        </w:rPr>
        <w:t>Jörissen</w:t>
      </w:r>
      <w:proofErr w:type="spellEnd"/>
      <w:r>
        <w:rPr>
          <w:sz w:val="24"/>
          <w:lang w:eastAsia="de-DE"/>
        </w:rPr>
        <w:t xml:space="preserve">, B. (Hrsg.), </w:t>
      </w:r>
      <w:r>
        <w:rPr>
          <w:i/>
          <w:sz w:val="24"/>
          <w:lang w:eastAsia="de-DE"/>
        </w:rPr>
        <w:t>Raum, Zeit, Medienbildung: Untersuchungen zu medialen Veränderungen unseres Verhältnisses zu Raum und Zeit</w:t>
      </w:r>
      <w:r>
        <w:rPr>
          <w:sz w:val="24"/>
          <w:lang w:eastAsia="de-DE"/>
        </w:rPr>
        <w:t>, Springer VS, Wiesbaden, S. 195-216.</w:t>
      </w:r>
    </w:p>
    <w:p w14:paraId="1C783DB2" w14:textId="098E713A" w:rsidR="009F09E0" w:rsidRPr="00DF6BFC" w:rsidRDefault="002E2596" w:rsidP="00774977">
      <w:pPr>
        <w:spacing w:line="276" w:lineRule="auto"/>
        <w:ind w:left="567" w:hanging="567"/>
        <w:rPr>
          <w:sz w:val="24"/>
          <w:lang w:eastAsia="de-DE"/>
        </w:rPr>
      </w:pPr>
      <w:r w:rsidRPr="002E2596">
        <w:rPr>
          <w:sz w:val="24"/>
          <w:lang w:eastAsia="de-DE"/>
        </w:rPr>
        <w:t>Schwan, S</w:t>
      </w:r>
      <w:r w:rsidR="00DF6BFC">
        <w:rPr>
          <w:sz w:val="24"/>
          <w:lang w:eastAsia="de-DE"/>
        </w:rPr>
        <w:t>.</w:t>
      </w:r>
      <w:r w:rsidRPr="002E2596">
        <w:rPr>
          <w:sz w:val="24"/>
          <w:lang w:eastAsia="de-DE"/>
        </w:rPr>
        <w:t xml:space="preserve"> (2006)</w:t>
      </w:r>
      <w:r w:rsidR="00A441F2">
        <w:rPr>
          <w:sz w:val="24"/>
          <w:lang w:eastAsia="de-DE"/>
        </w:rPr>
        <w:t>,</w:t>
      </w:r>
      <w:r w:rsidRPr="002E2596">
        <w:rPr>
          <w:sz w:val="24"/>
          <w:lang w:eastAsia="de-DE"/>
        </w:rPr>
        <w:t xml:space="preserve"> </w:t>
      </w:r>
      <w:r w:rsidR="00DF6BFC">
        <w:rPr>
          <w:sz w:val="24"/>
          <w:lang w:eastAsia="de-DE"/>
        </w:rPr>
        <w:t>„</w:t>
      </w:r>
      <w:r w:rsidRPr="002E2596">
        <w:rPr>
          <w:sz w:val="24"/>
          <w:lang w:eastAsia="de-DE"/>
        </w:rPr>
        <w:t xml:space="preserve">Game </w:t>
      </w:r>
      <w:proofErr w:type="spellStart"/>
      <w:r w:rsidRPr="002E2596">
        <w:rPr>
          <w:sz w:val="24"/>
          <w:lang w:eastAsia="de-DE"/>
        </w:rPr>
        <w:t>Based</w:t>
      </w:r>
      <w:proofErr w:type="spellEnd"/>
      <w:r w:rsidRPr="002E2596">
        <w:rPr>
          <w:sz w:val="24"/>
          <w:lang w:eastAsia="de-DE"/>
        </w:rPr>
        <w:t xml:space="preserve"> Learning – Comput</w:t>
      </w:r>
      <w:r>
        <w:rPr>
          <w:sz w:val="24"/>
          <w:lang w:eastAsia="de-DE"/>
        </w:rPr>
        <w:t>erspiele in der Hochschullehre</w:t>
      </w:r>
      <w:r w:rsidR="00DF6BFC">
        <w:rPr>
          <w:sz w:val="24"/>
          <w:lang w:eastAsia="de-DE"/>
        </w:rPr>
        <w:t>“, [online],</w:t>
      </w:r>
      <w:r>
        <w:rPr>
          <w:sz w:val="24"/>
          <w:lang w:eastAsia="de-DE"/>
        </w:rPr>
        <w:t xml:space="preserve"> </w:t>
      </w:r>
      <w:r w:rsidRPr="00DF6BFC">
        <w:rPr>
          <w:sz w:val="24"/>
          <w:lang w:eastAsia="de-DE"/>
        </w:rPr>
        <w:t xml:space="preserve">URL: </w:t>
      </w:r>
      <w:hyperlink r:id="rId10" w:history="1">
        <w:r w:rsidRPr="00DF6BFC">
          <w:rPr>
            <w:rStyle w:val="Hyperlink"/>
            <w:sz w:val="24"/>
            <w:lang w:eastAsia="de-DE"/>
          </w:rPr>
          <w:t>https://www.e-teaching.org/didaktik/konzeption/methoden/lernspiele/game_based_learning/gamebasedlearning.pdf</w:t>
        </w:r>
      </w:hyperlink>
    </w:p>
    <w:p w14:paraId="69105F97" w14:textId="0B8B7A94" w:rsidR="002E2596" w:rsidRPr="00DF6BFC" w:rsidRDefault="002E2596" w:rsidP="002E2596">
      <w:pPr>
        <w:spacing w:line="276" w:lineRule="auto"/>
        <w:rPr>
          <w:sz w:val="24"/>
          <w:lang w:eastAsia="de-DE"/>
        </w:rPr>
      </w:pPr>
    </w:p>
    <w:p w14:paraId="4994AD74" w14:textId="77777777" w:rsidR="00EF0D83" w:rsidRPr="00DF6BFC" w:rsidRDefault="00EF0D83" w:rsidP="002E2596">
      <w:pPr>
        <w:spacing w:line="276" w:lineRule="auto"/>
        <w:rPr>
          <w:sz w:val="24"/>
          <w:lang w:eastAsia="de-DE"/>
        </w:rPr>
      </w:pPr>
    </w:p>
    <w:p w14:paraId="28A7B676" w14:textId="2F8FBD0F" w:rsidR="002E2596" w:rsidRDefault="002E2596" w:rsidP="002E2596">
      <w:pPr>
        <w:pStyle w:val="berschrift2"/>
        <w:rPr>
          <w:lang w:eastAsia="de-DE"/>
        </w:rPr>
      </w:pPr>
      <w:r>
        <w:rPr>
          <w:lang w:eastAsia="de-DE"/>
        </w:rPr>
        <w:t>Lizenz</w:t>
      </w:r>
    </w:p>
    <w:p w14:paraId="46BC9ACE" w14:textId="4EBBAD42" w:rsidR="00D9301C" w:rsidRPr="007E73C4" w:rsidRDefault="00D9301C" w:rsidP="00D9301C">
      <w:pPr>
        <w:rPr>
          <w:sz w:val="20"/>
          <w:szCs w:val="20"/>
          <w:lang w:eastAsia="de-DE"/>
        </w:rPr>
      </w:pPr>
      <w:r w:rsidRPr="007E73C4">
        <w:rPr>
          <w:sz w:val="20"/>
          <w:szCs w:val="20"/>
          <w:lang w:eastAsia="de-DE"/>
        </w:rPr>
        <w:t>Idee &amp; Umsetzung: Claudia Vogeler</w:t>
      </w:r>
    </w:p>
    <w:p w14:paraId="1A5A6343" w14:textId="3A106D1A" w:rsidR="00D9301C" w:rsidRDefault="00D9301C" w:rsidP="00D9301C">
      <w:pPr>
        <w:rPr>
          <w:sz w:val="20"/>
          <w:szCs w:val="20"/>
          <w:lang w:eastAsia="de-DE"/>
        </w:rPr>
      </w:pPr>
      <w:r w:rsidRPr="007E73C4">
        <w:rPr>
          <w:sz w:val="20"/>
          <w:szCs w:val="20"/>
          <w:lang w:eastAsia="de-DE"/>
        </w:rPr>
        <w:t xml:space="preserve">Illustrationen &amp; Design: Julia </w:t>
      </w:r>
      <w:r w:rsidR="00B04A97" w:rsidRPr="00B04A97">
        <w:rPr>
          <w:sz w:val="20"/>
          <w:szCs w:val="20"/>
          <w:lang w:eastAsia="de-DE"/>
        </w:rPr>
        <w:t>Flitta (Lizenz: CC BY 4.0)</w:t>
      </w:r>
    </w:p>
    <w:p w14:paraId="23364568" w14:textId="539757B0" w:rsidR="007E5E87" w:rsidRPr="007E73C4" w:rsidRDefault="007E5E87" w:rsidP="00D9301C">
      <w:pPr>
        <w:rPr>
          <w:sz w:val="20"/>
          <w:szCs w:val="20"/>
          <w:lang w:eastAsia="de-DE"/>
        </w:rPr>
      </w:pPr>
      <w:r w:rsidRPr="007E5E87">
        <w:rPr>
          <w:sz w:val="20"/>
          <w:szCs w:val="20"/>
          <w:lang w:eastAsia="de-DE"/>
        </w:rPr>
        <w:t>Abbildung:</w:t>
      </w:r>
      <w:r>
        <w:rPr>
          <w:sz w:val="20"/>
          <w:szCs w:val="20"/>
          <w:lang w:eastAsia="de-DE"/>
        </w:rPr>
        <w:t xml:space="preserve"> Jochen</w:t>
      </w:r>
      <w:r w:rsidRPr="007E5E87">
        <w:rPr>
          <w:sz w:val="20"/>
          <w:szCs w:val="20"/>
          <w:lang w:eastAsia="de-DE"/>
        </w:rPr>
        <w:t xml:space="preserve"> </w:t>
      </w:r>
      <w:proofErr w:type="spellStart"/>
      <w:r w:rsidRPr="007E5E87">
        <w:rPr>
          <w:sz w:val="20"/>
          <w:szCs w:val="20"/>
          <w:lang w:eastAsia="de-DE"/>
        </w:rPr>
        <w:t>Pfannstiel</w:t>
      </w:r>
      <w:proofErr w:type="spellEnd"/>
      <w:r w:rsidRPr="007E5E87">
        <w:rPr>
          <w:sz w:val="20"/>
          <w:szCs w:val="20"/>
          <w:lang w:eastAsia="de-DE"/>
        </w:rPr>
        <w:t xml:space="preserve">, </w:t>
      </w:r>
      <w:r>
        <w:rPr>
          <w:sz w:val="20"/>
          <w:szCs w:val="20"/>
          <w:lang w:eastAsia="de-DE"/>
        </w:rPr>
        <w:t xml:space="preserve">Volker </w:t>
      </w:r>
      <w:r w:rsidRPr="007E5E87">
        <w:rPr>
          <w:sz w:val="20"/>
          <w:szCs w:val="20"/>
          <w:lang w:eastAsia="de-DE"/>
        </w:rPr>
        <w:t xml:space="preserve">Sänger &amp; </w:t>
      </w:r>
      <w:r>
        <w:rPr>
          <w:sz w:val="20"/>
          <w:szCs w:val="20"/>
          <w:lang w:eastAsia="de-DE"/>
        </w:rPr>
        <w:t xml:space="preserve">Claudia </w:t>
      </w:r>
      <w:r w:rsidRPr="007E5E87">
        <w:rPr>
          <w:sz w:val="20"/>
          <w:szCs w:val="20"/>
          <w:lang w:eastAsia="de-DE"/>
        </w:rPr>
        <w:t xml:space="preserve">Schmidt </w:t>
      </w:r>
      <w:r>
        <w:rPr>
          <w:sz w:val="20"/>
          <w:szCs w:val="20"/>
          <w:lang w:eastAsia="de-DE"/>
        </w:rPr>
        <w:t>(</w:t>
      </w:r>
      <w:r w:rsidRPr="007E5E87">
        <w:rPr>
          <w:sz w:val="20"/>
          <w:szCs w:val="20"/>
          <w:lang w:eastAsia="de-DE"/>
        </w:rPr>
        <w:t>Lizenz: CC BY 4.0</w:t>
      </w:r>
      <w:r>
        <w:rPr>
          <w:sz w:val="20"/>
          <w:szCs w:val="20"/>
          <w:lang w:eastAsia="de-DE"/>
        </w:rPr>
        <w:t>)</w:t>
      </w:r>
    </w:p>
    <w:p w14:paraId="668396D4" w14:textId="540CBD36" w:rsidR="00D9301C" w:rsidRDefault="00D9301C" w:rsidP="00D9301C">
      <w:pPr>
        <w:rPr>
          <w:sz w:val="24"/>
          <w:lang w:eastAsia="de-DE"/>
        </w:rPr>
      </w:pPr>
    </w:p>
    <w:p w14:paraId="0006DF97" w14:textId="74F91D4D" w:rsidR="00D9301C" w:rsidRPr="007E73C4" w:rsidRDefault="002E2596" w:rsidP="00D9301C">
      <w:pPr>
        <w:ind w:left="2124"/>
        <w:rPr>
          <w:sz w:val="20"/>
          <w:szCs w:val="20"/>
          <w:lang w:eastAsia="de-DE"/>
        </w:rPr>
      </w:pPr>
      <w:r w:rsidRPr="007E73C4">
        <w:rPr>
          <w:noProof/>
          <w:sz w:val="20"/>
          <w:szCs w:val="20"/>
          <w:lang w:eastAsia="de-DE"/>
        </w:rPr>
        <w:drawing>
          <wp:anchor distT="0" distB="0" distL="114300" distR="114300" simplePos="0" relativeHeight="251658240" behindDoc="0" locked="0" layoutInCell="1" allowOverlap="1" wp14:anchorId="18B94B93" wp14:editId="38813CCE">
            <wp:simplePos x="0" y="0"/>
            <wp:positionH relativeFrom="margin">
              <wp:align>left</wp:align>
            </wp:positionH>
            <wp:positionV relativeFrom="paragraph">
              <wp:posOffset>12114</wp:posOffset>
            </wp:positionV>
            <wp:extent cx="1079500" cy="379730"/>
            <wp:effectExtent l="0" t="0" r="635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png"/>
                    <pic:cNvPicPr/>
                  </pic:nvPicPr>
                  <pic:blipFill>
                    <a:blip r:embed="rId11">
                      <a:extLst>
                        <a:ext uri="{28A0092B-C50C-407E-A947-70E740481C1C}">
                          <a14:useLocalDpi xmlns:a14="http://schemas.microsoft.com/office/drawing/2010/main" val="0"/>
                        </a:ext>
                      </a:extLst>
                    </a:blip>
                    <a:stretch>
                      <a:fillRect/>
                    </a:stretch>
                  </pic:blipFill>
                  <pic:spPr>
                    <a:xfrm>
                      <a:off x="0" y="0"/>
                      <a:ext cx="1079500" cy="379730"/>
                    </a:xfrm>
                    <a:prstGeom prst="rect">
                      <a:avLst/>
                    </a:prstGeom>
                  </pic:spPr>
                </pic:pic>
              </a:graphicData>
            </a:graphic>
            <wp14:sizeRelH relativeFrom="margin">
              <wp14:pctWidth>0</wp14:pctWidth>
            </wp14:sizeRelH>
            <wp14:sizeRelV relativeFrom="margin">
              <wp14:pctHeight>0</wp14:pctHeight>
            </wp14:sizeRelV>
          </wp:anchor>
        </w:drawing>
      </w:r>
      <w:r w:rsidRPr="007E73C4">
        <w:rPr>
          <w:sz w:val="20"/>
          <w:szCs w:val="20"/>
          <w:lang w:eastAsia="de-DE"/>
        </w:rPr>
        <w:t xml:space="preserve">Die Checkliste „Motivierende Spiele“ von Claudia Vogeler / Team Medien 4.0 ist lizenziert unter einer Creative </w:t>
      </w:r>
      <w:proofErr w:type="spellStart"/>
      <w:r w:rsidRPr="007E73C4">
        <w:rPr>
          <w:sz w:val="20"/>
          <w:szCs w:val="20"/>
          <w:lang w:eastAsia="de-DE"/>
        </w:rPr>
        <w:t>Commons</w:t>
      </w:r>
      <w:proofErr w:type="spellEnd"/>
      <w:r w:rsidRPr="007E73C4">
        <w:rPr>
          <w:sz w:val="20"/>
          <w:szCs w:val="20"/>
          <w:lang w:eastAsia="de-DE"/>
        </w:rPr>
        <w:t xml:space="preserve"> Namensnennung 4.0 International Lizenz (CC BY) (</w:t>
      </w:r>
      <w:hyperlink r:id="rId12" w:history="1">
        <w:r w:rsidRPr="007E73C4">
          <w:rPr>
            <w:rStyle w:val="Hyperlink"/>
            <w:sz w:val="20"/>
            <w:szCs w:val="20"/>
            <w:lang w:eastAsia="de-DE"/>
          </w:rPr>
          <w:t>https://creativecommons.org/licenses/by/4.0/legalcode.de</w:t>
        </w:r>
      </w:hyperlink>
      <w:r w:rsidRPr="007E73C4">
        <w:rPr>
          <w:sz w:val="20"/>
          <w:szCs w:val="20"/>
          <w:lang w:eastAsia="de-DE"/>
        </w:rPr>
        <w:t>).</w:t>
      </w:r>
      <w:r w:rsidR="00D9301C" w:rsidRPr="007E73C4">
        <w:rPr>
          <w:sz w:val="20"/>
          <w:szCs w:val="20"/>
          <w:lang w:eastAsia="de-DE"/>
        </w:rPr>
        <w:t xml:space="preserve"> Das Logo des Bundesministeriums für Bildung und Forschung fällt nicht unter eine freie Lizenz.</w:t>
      </w:r>
    </w:p>
    <w:p w14:paraId="1DC09459" w14:textId="56A4A175" w:rsidR="008510EE" w:rsidRDefault="008510EE" w:rsidP="008510EE">
      <w:pPr>
        <w:rPr>
          <w:sz w:val="24"/>
          <w:lang w:eastAsia="de-DE"/>
        </w:rPr>
      </w:pPr>
    </w:p>
    <w:p w14:paraId="082FFBEF" w14:textId="4A0CBAFF" w:rsidR="008510EE" w:rsidRPr="007E73C4" w:rsidRDefault="008510EE" w:rsidP="008510EE">
      <w:pPr>
        <w:rPr>
          <w:sz w:val="20"/>
          <w:szCs w:val="20"/>
          <w:lang w:eastAsia="de-DE"/>
        </w:rPr>
      </w:pPr>
      <w:r w:rsidRPr="007E73C4">
        <w:rPr>
          <w:sz w:val="20"/>
          <w:szCs w:val="20"/>
          <w:lang w:eastAsia="de-DE"/>
        </w:rPr>
        <w:t>(Stand: Juli 2018)</w:t>
      </w:r>
    </w:p>
    <w:p w14:paraId="57EACDAB" w14:textId="0DD7A096" w:rsidR="00D9301C" w:rsidRDefault="00D9301C" w:rsidP="00F23E66">
      <w:pPr>
        <w:jc w:val="right"/>
        <w:rPr>
          <w:sz w:val="24"/>
          <w:lang w:eastAsia="de-DE"/>
        </w:rPr>
      </w:pPr>
      <w:r>
        <w:rPr>
          <w:noProof/>
          <w:sz w:val="24"/>
          <w:lang w:eastAsia="de-DE"/>
        </w:rPr>
        <w:lastRenderedPageBreak/>
        <w:drawing>
          <wp:inline distT="0" distB="0" distL="0" distR="0" wp14:anchorId="5C39BA23" wp14:editId="254DA527">
            <wp:extent cx="3920218" cy="282508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6817" cy="2858667"/>
                    </a:xfrm>
                    <a:prstGeom prst="rect">
                      <a:avLst/>
                    </a:prstGeom>
                    <a:noFill/>
                  </pic:spPr>
                </pic:pic>
              </a:graphicData>
            </a:graphic>
          </wp:inline>
        </w:drawing>
      </w:r>
    </w:p>
    <w:sectPr w:rsidR="00D9301C" w:rsidSect="00D42E28">
      <w:headerReference w:type="even" r:id="rId14"/>
      <w:headerReference w:type="default" r:id="rId15"/>
      <w:footerReference w:type="even" r:id="rId16"/>
      <w:footerReference w:type="default" r:id="rId17"/>
      <w:headerReference w:type="first" r:id="rId18"/>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A0159" w14:textId="77777777" w:rsidR="00DF084A" w:rsidRDefault="00DF084A" w:rsidP="00CB2E6C">
      <w:r>
        <w:separator/>
      </w:r>
    </w:p>
  </w:endnote>
  <w:endnote w:type="continuationSeparator" w:id="0">
    <w:p w14:paraId="2ED05E43" w14:textId="77777777" w:rsidR="00DF084A" w:rsidRDefault="00DF084A"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59C7DDF3"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5C7E92">
      <w:rPr>
        <w:rStyle w:val="Seitenzahl"/>
        <w:rFonts w:ascii="Candara" w:hAnsi="Candara"/>
        <w:noProof/>
      </w:rPr>
      <w:t>2</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28C4" w14:textId="77777777" w:rsidR="00DF084A" w:rsidRDefault="00DF084A" w:rsidP="00CB2E6C">
      <w:r>
        <w:separator/>
      </w:r>
    </w:p>
  </w:footnote>
  <w:footnote w:type="continuationSeparator" w:id="0">
    <w:p w14:paraId="1951BE00" w14:textId="77777777" w:rsidR="00DF084A" w:rsidRDefault="00DF084A"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DF084A">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DF084A">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7.85pt;width:595.3pt;height:841.9pt;z-index:-251658240;mso-position-horizontal-relative:margin;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DF084A">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06024"/>
    <w:rsid w:val="00015FC1"/>
    <w:rsid w:val="000230FD"/>
    <w:rsid w:val="000310CB"/>
    <w:rsid w:val="00053DD1"/>
    <w:rsid w:val="0006727E"/>
    <w:rsid w:val="000C5149"/>
    <w:rsid w:val="000F123F"/>
    <w:rsid w:val="00144B1A"/>
    <w:rsid w:val="00184DA5"/>
    <w:rsid w:val="00197891"/>
    <w:rsid w:val="00204C02"/>
    <w:rsid w:val="002B725F"/>
    <w:rsid w:val="002B7F28"/>
    <w:rsid w:val="002E2596"/>
    <w:rsid w:val="002F07C6"/>
    <w:rsid w:val="00331BF2"/>
    <w:rsid w:val="00334F60"/>
    <w:rsid w:val="00341FDA"/>
    <w:rsid w:val="003A3136"/>
    <w:rsid w:val="003D29A5"/>
    <w:rsid w:val="004763A8"/>
    <w:rsid w:val="00496AE6"/>
    <w:rsid w:val="004A6005"/>
    <w:rsid w:val="004E4403"/>
    <w:rsid w:val="004F4BDE"/>
    <w:rsid w:val="00512B6E"/>
    <w:rsid w:val="00535687"/>
    <w:rsid w:val="00565131"/>
    <w:rsid w:val="00575152"/>
    <w:rsid w:val="005A2E4E"/>
    <w:rsid w:val="005A7562"/>
    <w:rsid w:val="005C56E2"/>
    <w:rsid w:val="005C7E92"/>
    <w:rsid w:val="005D4BD6"/>
    <w:rsid w:val="00602765"/>
    <w:rsid w:val="00630EDC"/>
    <w:rsid w:val="00676C7C"/>
    <w:rsid w:val="006B02F3"/>
    <w:rsid w:val="006C31B3"/>
    <w:rsid w:val="006D4EF2"/>
    <w:rsid w:val="00705E7F"/>
    <w:rsid w:val="00773133"/>
    <w:rsid w:val="00774977"/>
    <w:rsid w:val="007C54D4"/>
    <w:rsid w:val="007D2D5A"/>
    <w:rsid w:val="007E5E87"/>
    <w:rsid w:val="007E6AA5"/>
    <w:rsid w:val="007E73C4"/>
    <w:rsid w:val="007E77E9"/>
    <w:rsid w:val="008510EE"/>
    <w:rsid w:val="00860A64"/>
    <w:rsid w:val="00874B7C"/>
    <w:rsid w:val="008B014F"/>
    <w:rsid w:val="008D3A36"/>
    <w:rsid w:val="00903D16"/>
    <w:rsid w:val="00930213"/>
    <w:rsid w:val="00934B73"/>
    <w:rsid w:val="00955BE1"/>
    <w:rsid w:val="00957515"/>
    <w:rsid w:val="009F088E"/>
    <w:rsid w:val="009F55C2"/>
    <w:rsid w:val="00A424A2"/>
    <w:rsid w:val="00A441F2"/>
    <w:rsid w:val="00A960DF"/>
    <w:rsid w:val="00AA2652"/>
    <w:rsid w:val="00AF45D5"/>
    <w:rsid w:val="00AF4EBC"/>
    <w:rsid w:val="00B04A97"/>
    <w:rsid w:val="00B32936"/>
    <w:rsid w:val="00B40512"/>
    <w:rsid w:val="00B46221"/>
    <w:rsid w:val="00C301A2"/>
    <w:rsid w:val="00C30653"/>
    <w:rsid w:val="00CB2E6C"/>
    <w:rsid w:val="00CC4BDA"/>
    <w:rsid w:val="00CD21D7"/>
    <w:rsid w:val="00CE47A5"/>
    <w:rsid w:val="00D42E28"/>
    <w:rsid w:val="00D45E7C"/>
    <w:rsid w:val="00D86D53"/>
    <w:rsid w:val="00D9301C"/>
    <w:rsid w:val="00DC583E"/>
    <w:rsid w:val="00DF084A"/>
    <w:rsid w:val="00DF0D21"/>
    <w:rsid w:val="00DF6BFC"/>
    <w:rsid w:val="00E12EFD"/>
    <w:rsid w:val="00E322A2"/>
    <w:rsid w:val="00E411A6"/>
    <w:rsid w:val="00E640A0"/>
    <w:rsid w:val="00E752C1"/>
    <w:rsid w:val="00E9618F"/>
    <w:rsid w:val="00EC768B"/>
    <w:rsid w:val="00ED04E8"/>
    <w:rsid w:val="00EF0D83"/>
    <w:rsid w:val="00F152E5"/>
    <w:rsid w:val="00F1697C"/>
    <w:rsid w:val="00F23E66"/>
    <w:rsid w:val="00F37CC5"/>
    <w:rsid w:val="00F45398"/>
    <w:rsid w:val="00F45693"/>
    <w:rsid w:val="00FA76FC"/>
    <w:rsid w:val="00FC3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table" w:styleId="Tabellenraster">
    <w:name w:val="Table Grid"/>
    <w:basedOn w:val="NormaleTabelle"/>
    <w:uiPriority w:val="39"/>
    <w:rsid w:val="002E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9301C"/>
    <w:pPr>
      <w:spacing w:before="100" w:beforeAutospacing="1" w:after="100" w:afterAutospacing="1"/>
    </w:pPr>
    <w:rPr>
      <w:rFonts w:ascii="Times New Roman" w:eastAsiaTheme="minorEastAsia"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creativecommons.org/licenses/by/4.0/legalcode.d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e-teaching.org/didaktik/konzeption/methoden/lernspiele/game_based_learning/gamebasedlearning.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edienpaed.com/article/download/102/1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5667</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Überschrift 1</vt:lpstr>
    </vt:vector>
  </TitlesOfParts>
  <Company>Orgname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Vogeler, Claudia</dc:creator>
  <cp:keywords/>
  <dc:description/>
  <cp:lastModifiedBy>Vogeler, Claudia</cp:lastModifiedBy>
  <cp:revision>96</cp:revision>
  <dcterms:created xsi:type="dcterms:W3CDTF">2018-07-04T14:34:00Z</dcterms:created>
  <dcterms:modified xsi:type="dcterms:W3CDTF">2018-07-19T08:09:00Z</dcterms:modified>
</cp:coreProperties>
</file>