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1296"/>
      </w:tblGrid>
      <w:tr w:rsidR="00774977" w:rsidRPr="00774977" w14:paraId="4629FAE6" w14:textId="77777777" w:rsidTr="00957515">
        <w:trPr>
          <w:trHeight w:val="1075"/>
        </w:trPr>
        <w:tc>
          <w:tcPr>
            <w:tcW w:w="7924" w:type="dxa"/>
            <w:vAlign w:val="center"/>
          </w:tcPr>
          <w:p w14:paraId="2FB89945" w14:textId="77777777" w:rsidR="00957515" w:rsidRPr="00774977" w:rsidRDefault="00957515" w:rsidP="00957515">
            <w:pPr>
              <w:jc w:val="right"/>
              <w:rPr>
                <w:sz w:val="20"/>
                <w:szCs w:val="20"/>
                <w:lang w:val="en-US" w:eastAsia="de-DE"/>
              </w:rPr>
            </w:pPr>
            <w:r w:rsidRPr="00774977">
              <w:rPr>
                <w:sz w:val="20"/>
                <w:szCs w:val="20"/>
                <w:lang w:val="en-US" w:eastAsia="de-DE"/>
              </w:rPr>
              <w:t>Persona: Dagmar</w:t>
            </w:r>
          </w:p>
          <w:p w14:paraId="57DCB2DF" w14:textId="77777777" w:rsidR="00957515" w:rsidRPr="00774977" w:rsidRDefault="00957515" w:rsidP="00957515">
            <w:pPr>
              <w:jc w:val="right"/>
              <w:rPr>
                <w:sz w:val="20"/>
                <w:szCs w:val="20"/>
                <w:lang w:val="en-US" w:eastAsia="de-DE"/>
              </w:rPr>
            </w:pPr>
            <w:proofErr w:type="spellStart"/>
            <w:r w:rsidRPr="00774977">
              <w:rPr>
                <w:sz w:val="20"/>
                <w:szCs w:val="20"/>
                <w:lang w:val="en-US" w:eastAsia="de-DE"/>
              </w:rPr>
              <w:t>Thema</w:t>
            </w:r>
            <w:proofErr w:type="spellEnd"/>
            <w:r w:rsidRPr="00774977">
              <w:rPr>
                <w:sz w:val="20"/>
                <w:szCs w:val="20"/>
                <w:lang w:val="en-US" w:eastAsia="de-DE"/>
              </w:rPr>
              <w:t>: Game-Based Learning</w:t>
            </w:r>
          </w:p>
          <w:p w14:paraId="12235962" w14:textId="48C707CD" w:rsidR="00774977" w:rsidRPr="000C350A" w:rsidRDefault="00957515" w:rsidP="00957515">
            <w:pPr>
              <w:jc w:val="right"/>
              <w:rPr>
                <w:sz w:val="20"/>
                <w:szCs w:val="20"/>
                <w:lang w:eastAsia="de-DE"/>
              </w:rPr>
            </w:pPr>
            <w:r w:rsidRPr="00774977">
              <w:rPr>
                <w:sz w:val="20"/>
                <w:szCs w:val="20"/>
                <w:lang w:eastAsia="de-DE"/>
              </w:rPr>
              <w:t>Material zu Lerneinheit 2: Game Recherche und Auswahl</w:t>
            </w:r>
          </w:p>
        </w:tc>
        <w:tc>
          <w:tcPr>
            <w:tcW w:w="1290" w:type="dxa"/>
            <w:vAlign w:val="center"/>
          </w:tcPr>
          <w:p w14:paraId="7128D2C0" w14:textId="0B8CB2EB" w:rsidR="00774977" w:rsidRPr="00774977" w:rsidRDefault="00957515" w:rsidP="00957515">
            <w:pPr>
              <w:jc w:val="right"/>
              <w:rPr>
                <w:sz w:val="20"/>
                <w:szCs w:val="20"/>
                <w:lang w:eastAsia="de-DE"/>
              </w:rPr>
            </w:pPr>
            <w:r>
              <w:rPr>
                <w:noProof/>
                <w:sz w:val="20"/>
                <w:szCs w:val="20"/>
                <w:lang w:eastAsia="de-DE"/>
              </w:rPr>
              <w:drawing>
                <wp:inline distT="0" distB="0" distL="0" distR="0" wp14:anchorId="783A92C6" wp14:editId="7A1DAF16">
                  <wp:extent cx="681740" cy="66271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agmar_stadtsilhouette.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88966" cy="669739"/>
                          </a:xfrm>
                          <a:prstGeom prst="rect">
                            <a:avLst/>
                          </a:prstGeom>
                        </pic:spPr>
                      </pic:pic>
                    </a:graphicData>
                  </a:graphic>
                </wp:inline>
              </w:drawing>
            </w:r>
          </w:p>
        </w:tc>
      </w:tr>
    </w:tbl>
    <w:p w14:paraId="1536290F" w14:textId="77777777" w:rsidR="00C301A2" w:rsidRPr="00774977" w:rsidRDefault="00C301A2" w:rsidP="00C301A2">
      <w:pPr>
        <w:rPr>
          <w:sz w:val="24"/>
        </w:rPr>
      </w:pPr>
    </w:p>
    <w:p w14:paraId="4455EAC3" w14:textId="53DA5558" w:rsidR="00F45693" w:rsidRPr="00597BE3" w:rsidRDefault="002E2596" w:rsidP="00F45693">
      <w:pPr>
        <w:pStyle w:val="berschrift2"/>
        <w:spacing w:line="276" w:lineRule="auto"/>
      </w:pPr>
      <w:r>
        <w:t>Checkliste „</w:t>
      </w:r>
      <w:r w:rsidR="000C350A">
        <w:t>Spiele mit hohem Lerneffekt</w:t>
      </w:r>
      <w:r>
        <w:t>“</w:t>
      </w:r>
    </w:p>
    <w:p w14:paraId="2F1C0565" w14:textId="0FA5F396" w:rsidR="00F45693" w:rsidRDefault="002E2596" w:rsidP="00F45693">
      <w:pPr>
        <w:spacing w:line="276" w:lineRule="auto"/>
        <w:rPr>
          <w:sz w:val="24"/>
          <w:lang w:eastAsia="de-DE"/>
        </w:rPr>
      </w:pPr>
      <w:r w:rsidRPr="002E2596">
        <w:rPr>
          <w:sz w:val="24"/>
          <w:lang w:eastAsia="de-DE"/>
        </w:rPr>
        <w:t xml:space="preserve">Bitte gehen Sie für Spiele, die für Sie thematisch in Frage kommen, die folgende Checkliste durch und haken alle Punkte ab, die auf das Spiel zutreffen. Je mehr Haken Sie für ein Spiel setzen, desto größer ist der </w:t>
      </w:r>
      <w:r w:rsidR="000C350A">
        <w:rPr>
          <w:sz w:val="24"/>
          <w:lang w:eastAsia="de-DE"/>
        </w:rPr>
        <w:t>zu erwartende Lerneffekt</w:t>
      </w:r>
      <w:r w:rsidRPr="002E2596">
        <w:rPr>
          <w:sz w:val="24"/>
          <w:lang w:eastAsia="de-DE"/>
        </w:rPr>
        <w:t xml:space="preserve"> des</w:t>
      </w:r>
      <w:r>
        <w:rPr>
          <w:sz w:val="24"/>
          <w:lang w:eastAsia="de-DE"/>
        </w:rPr>
        <w:t xml:space="preserve"> Spiels.</w:t>
      </w:r>
    </w:p>
    <w:p w14:paraId="3404279A" w14:textId="4D69C690" w:rsidR="002E2596" w:rsidRDefault="002E2596" w:rsidP="00F45693">
      <w:pPr>
        <w:spacing w:line="276" w:lineRule="auto"/>
        <w:rPr>
          <w:sz w:val="24"/>
          <w:lang w:eastAsia="de-DE"/>
        </w:rPr>
      </w:pPr>
    </w:p>
    <w:p w14:paraId="6DF35B2D" w14:textId="77777777" w:rsidR="00A16495" w:rsidRDefault="00A16495" w:rsidP="00F45693">
      <w:pPr>
        <w:spacing w:line="276" w:lineRule="auto"/>
        <w:rPr>
          <w:sz w:val="24"/>
          <w:lang w:eastAsia="de-DE"/>
        </w:rPr>
      </w:pPr>
    </w:p>
    <w:tbl>
      <w:tblPr>
        <w:tblStyle w:val="Tabellenraster"/>
        <w:tblW w:w="9067" w:type="dxa"/>
        <w:tblLayout w:type="fixed"/>
        <w:tblLook w:val="04A0" w:firstRow="1" w:lastRow="0" w:firstColumn="1" w:lastColumn="0" w:noHBand="0" w:noVBand="1"/>
      </w:tblPr>
      <w:tblGrid>
        <w:gridCol w:w="1386"/>
        <w:gridCol w:w="6520"/>
        <w:gridCol w:w="1161"/>
      </w:tblGrid>
      <w:tr w:rsidR="000C350A" w14:paraId="50DB79EE" w14:textId="77777777" w:rsidTr="00A16495">
        <w:trPr>
          <w:trHeight w:val="454"/>
          <w:tblHeader/>
        </w:trPr>
        <w:tc>
          <w:tcPr>
            <w:tcW w:w="1386" w:type="dxa"/>
            <w:shd w:val="clear" w:color="auto" w:fill="D9D9D9" w:themeFill="background1" w:themeFillShade="D9"/>
            <w:vAlign w:val="center"/>
          </w:tcPr>
          <w:p w14:paraId="160D0955" w14:textId="77777777" w:rsidR="000C350A" w:rsidRPr="00CD1AC3" w:rsidRDefault="000C350A" w:rsidP="00A16495">
            <w:pPr>
              <w:spacing w:line="276" w:lineRule="auto"/>
              <w:rPr>
                <w:b/>
                <w:sz w:val="24"/>
                <w:lang w:eastAsia="de-DE"/>
              </w:rPr>
            </w:pPr>
            <w:r w:rsidRPr="00CD1AC3">
              <w:rPr>
                <w:b/>
                <w:sz w:val="24"/>
                <w:lang w:eastAsia="de-DE"/>
              </w:rPr>
              <w:t>Bereich</w:t>
            </w:r>
          </w:p>
        </w:tc>
        <w:tc>
          <w:tcPr>
            <w:tcW w:w="6520" w:type="dxa"/>
            <w:shd w:val="clear" w:color="auto" w:fill="D9D9D9" w:themeFill="background1" w:themeFillShade="D9"/>
            <w:vAlign w:val="center"/>
          </w:tcPr>
          <w:p w14:paraId="0D2BB2E3" w14:textId="77777777" w:rsidR="000C350A" w:rsidRPr="00CD1AC3" w:rsidRDefault="000C350A" w:rsidP="00A16495">
            <w:pPr>
              <w:spacing w:line="276" w:lineRule="auto"/>
              <w:rPr>
                <w:b/>
                <w:sz w:val="24"/>
                <w:lang w:eastAsia="de-DE"/>
              </w:rPr>
            </w:pPr>
            <w:r>
              <w:rPr>
                <w:b/>
                <w:sz w:val="24"/>
                <w:lang w:eastAsia="de-DE"/>
              </w:rPr>
              <w:t>Prinzip</w:t>
            </w:r>
          </w:p>
        </w:tc>
        <w:tc>
          <w:tcPr>
            <w:tcW w:w="1161" w:type="dxa"/>
            <w:shd w:val="clear" w:color="auto" w:fill="D9D9D9" w:themeFill="background1" w:themeFillShade="D9"/>
            <w:vAlign w:val="center"/>
          </w:tcPr>
          <w:p w14:paraId="607A59FF" w14:textId="77777777" w:rsidR="000C350A" w:rsidRPr="00CD1AC3" w:rsidRDefault="000C350A" w:rsidP="00A16495">
            <w:pPr>
              <w:spacing w:line="276" w:lineRule="auto"/>
              <w:jc w:val="center"/>
              <w:rPr>
                <w:b/>
                <w:sz w:val="24"/>
                <w:lang w:eastAsia="de-DE"/>
              </w:rPr>
            </w:pPr>
            <w:r>
              <w:rPr>
                <w:b/>
                <w:sz w:val="24"/>
                <w:lang w:eastAsia="de-DE"/>
              </w:rPr>
              <w:t>Trifft zu</w:t>
            </w:r>
          </w:p>
        </w:tc>
      </w:tr>
      <w:tr w:rsidR="00A16495" w14:paraId="31AD0E57" w14:textId="77777777" w:rsidTr="003A49CC">
        <w:trPr>
          <w:trHeight w:val="454"/>
        </w:trPr>
        <w:tc>
          <w:tcPr>
            <w:tcW w:w="9067" w:type="dxa"/>
            <w:gridSpan w:val="3"/>
            <w:tcBorders>
              <w:right w:val="single" w:sz="4" w:space="0" w:color="auto"/>
            </w:tcBorders>
            <w:vAlign w:val="center"/>
          </w:tcPr>
          <w:p w14:paraId="7D1F37CF" w14:textId="6CDE1104" w:rsidR="00A16495" w:rsidRPr="00A8164E" w:rsidRDefault="00A16495" w:rsidP="00A16495">
            <w:pPr>
              <w:spacing w:line="276" w:lineRule="auto"/>
              <w:rPr>
                <w:rFonts w:cs="Open Sans"/>
                <w:szCs w:val="20"/>
              </w:rPr>
            </w:pPr>
            <w:r>
              <w:rPr>
                <w:i/>
                <w:sz w:val="24"/>
                <w:lang w:eastAsia="de-DE"/>
              </w:rPr>
              <w:t>Objektive Aspekte</w:t>
            </w:r>
          </w:p>
        </w:tc>
      </w:tr>
      <w:tr w:rsidR="000C350A" w14:paraId="0643DEB4" w14:textId="77777777" w:rsidTr="000C350A">
        <w:tc>
          <w:tcPr>
            <w:tcW w:w="1386" w:type="dxa"/>
          </w:tcPr>
          <w:p w14:paraId="570BE91C" w14:textId="77777777" w:rsidR="000C350A" w:rsidRDefault="000C350A" w:rsidP="0089275E">
            <w:pPr>
              <w:spacing w:line="276" w:lineRule="auto"/>
              <w:rPr>
                <w:sz w:val="24"/>
                <w:lang w:eastAsia="de-DE"/>
              </w:rPr>
            </w:pPr>
            <w:r w:rsidRPr="00FB61F3">
              <w:rPr>
                <w:sz w:val="24"/>
                <w:lang w:eastAsia="de-DE"/>
              </w:rPr>
              <w:t>Fantasie ansprechen</w:t>
            </w:r>
          </w:p>
        </w:tc>
        <w:tc>
          <w:tcPr>
            <w:tcW w:w="6520" w:type="dxa"/>
          </w:tcPr>
          <w:p w14:paraId="7EFAB847" w14:textId="0E4BDF70" w:rsidR="000C350A" w:rsidRDefault="000C350A" w:rsidP="00F06423">
            <w:pPr>
              <w:spacing w:line="276" w:lineRule="auto"/>
              <w:rPr>
                <w:sz w:val="24"/>
                <w:lang w:eastAsia="de-DE"/>
              </w:rPr>
            </w:pPr>
            <w:r w:rsidRPr="00FB61F3">
              <w:rPr>
                <w:sz w:val="24"/>
                <w:lang w:eastAsia="de-DE"/>
              </w:rPr>
              <w:t xml:space="preserve">Umgebung, Handlung und auftretende Charaktere </w:t>
            </w:r>
            <w:r>
              <w:rPr>
                <w:sz w:val="24"/>
                <w:lang w:eastAsia="de-DE"/>
              </w:rPr>
              <w:t>d</w:t>
            </w:r>
            <w:r w:rsidRPr="00FB61F3">
              <w:rPr>
                <w:sz w:val="24"/>
                <w:lang w:eastAsia="de-DE"/>
              </w:rPr>
              <w:t>es S</w:t>
            </w:r>
            <w:r>
              <w:rPr>
                <w:sz w:val="24"/>
                <w:lang w:eastAsia="de-DE"/>
              </w:rPr>
              <w:t>piels bilden eine Fantasiewelt. In dieser</w:t>
            </w:r>
            <w:r w:rsidRPr="00FB61F3">
              <w:rPr>
                <w:sz w:val="24"/>
                <w:lang w:eastAsia="de-DE"/>
              </w:rPr>
              <w:t xml:space="preserve"> können </w:t>
            </w:r>
            <w:r>
              <w:rPr>
                <w:sz w:val="24"/>
                <w:lang w:eastAsia="de-DE"/>
              </w:rPr>
              <w:t>Spielende Perspektiven und Rol</w:t>
            </w:r>
            <w:r w:rsidRPr="00FB61F3">
              <w:rPr>
                <w:sz w:val="24"/>
                <w:lang w:eastAsia="de-DE"/>
              </w:rPr>
              <w:t>len wechseln</w:t>
            </w:r>
            <w:r w:rsidR="00F06423">
              <w:rPr>
                <w:sz w:val="24"/>
                <w:lang w:eastAsia="de-DE"/>
              </w:rPr>
              <w:t>. Sie können</w:t>
            </w:r>
            <w:r w:rsidRPr="00FB61F3">
              <w:rPr>
                <w:sz w:val="24"/>
                <w:lang w:eastAsia="de-DE"/>
              </w:rPr>
              <w:t xml:space="preserve"> sich mit fikt</w:t>
            </w:r>
            <w:r>
              <w:rPr>
                <w:sz w:val="24"/>
                <w:lang w:eastAsia="de-DE"/>
              </w:rPr>
              <w:t>iven Charakteren identifizieren</w:t>
            </w:r>
            <w:r w:rsidR="00F06423">
              <w:rPr>
                <w:sz w:val="24"/>
                <w:lang w:eastAsia="de-DE"/>
              </w:rPr>
              <w:t xml:space="preserve"> und in Experimentierräumen bewegen</w:t>
            </w:r>
            <w:r>
              <w:rPr>
                <w:sz w:val="24"/>
                <w:lang w:eastAsia="de-DE"/>
              </w:rPr>
              <w:t>.</w:t>
            </w:r>
          </w:p>
        </w:tc>
        <w:tc>
          <w:tcPr>
            <w:tcW w:w="1161" w:type="dxa"/>
            <w:tcBorders>
              <w:left w:val="single" w:sz="4" w:space="0" w:color="auto"/>
              <w:right w:val="single" w:sz="4" w:space="0" w:color="auto"/>
            </w:tcBorders>
            <w:shd w:val="clear" w:color="auto" w:fill="auto"/>
            <w:vAlign w:val="center"/>
          </w:tcPr>
          <w:p w14:paraId="737C6537" w14:textId="77777777" w:rsidR="000C350A" w:rsidRDefault="000C350A" w:rsidP="0089275E">
            <w:pPr>
              <w:spacing w:line="276" w:lineRule="auto"/>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0C350A" w14:paraId="497F77D6" w14:textId="77777777" w:rsidTr="000C350A">
        <w:tc>
          <w:tcPr>
            <w:tcW w:w="1386" w:type="dxa"/>
          </w:tcPr>
          <w:p w14:paraId="74C34C45" w14:textId="77777777" w:rsidR="000C350A" w:rsidRDefault="000C350A" w:rsidP="0089275E">
            <w:pPr>
              <w:spacing w:line="276" w:lineRule="auto"/>
              <w:rPr>
                <w:sz w:val="24"/>
                <w:lang w:eastAsia="de-DE"/>
              </w:rPr>
            </w:pPr>
            <w:r>
              <w:rPr>
                <w:sz w:val="24"/>
                <w:lang w:eastAsia="de-DE"/>
              </w:rPr>
              <w:t>Regeln vorgeben</w:t>
            </w:r>
            <w:r w:rsidRPr="00E46AA5">
              <w:rPr>
                <w:sz w:val="24"/>
                <w:lang w:eastAsia="de-DE"/>
              </w:rPr>
              <w:t xml:space="preserve"> </w:t>
            </w:r>
          </w:p>
        </w:tc>
        <w:tc>
          <w:tcPr>
            <w:tcW w:w="6520" w:type="dxa"/>
          </w:tcPr>
          <w:p w14:paraId="0351EBB4" w14:textId="57DE5A1B" w:rsidR="000C350A" w:rsidRDefault="000C350A" w:rsidP="005630F5">
            <w:pPr>
              <w:spacing w:line="276" w:lineRule="auto"/>
              <w:rPr>
                <w:sz w:val="24"/>
                <w:lang w:eastAsia="de-DE"/>
              </w:rPr>
            </w:pPr>
            <w:r>
              <w:rPr>
                <w:sz w:val="24"/>
                <w:lang w:eastAsia="de-DE"/>
              </w:rPr>
              <w:t xml:space="preserve">Die </w:t>
            </w:r>
            <w:r w:rsidRPr="00E46AA5">
              <w:rPr>
                <w:sz w:val="24"/>
                <w:lang w:eastAsia="de-DE"/>
              </w:rPr>
              <w:t xml:space="preserve">Spielregeln </w:t>
            </w:r>
            <w:r>
              <w:rPr>
                <w:sz w:val="24"/>
                <w:lang w:eastAsia="de-DE"/>
              </w:rPr>
              <w:t xml:space="preserve">und Ziele des Spiels </w:t>
            </w:r>
            <w:r w:rsidRPr="00E46AA5">
              <w:rPr>
                <w:sz w:val="24"/>
                <w:lang w:eastAsia="de-DE"/>
              </w:rPr>
              <w:t xml:space="preserve">sind </w:t>
            </w:r>
            <w:r>
              <w:rPr>
                <w:sz w:val="24"/>
                <w:lang w:eastAsia="de-DE"/>
              </w:rPr>
              <w:t xml:space="preserve">für Spielende </w:t>
            </w:r>
            <w:r w:rsidRPr="00E46AA5">
              <w:rPr>
                <w:sz w:val="24"/>
                <w:lang w:eastAsia="de-DE"/>
              </w:rPr>
              <w:t>klar</w:t>
            </w:r>
            <w:r>
              <w:rPr>
                <w:sz w:val="24"/>
                <w:lang w:eastAsia="de-DE"/>
              </w:rPr>
              <w:t xml:space="preserve"> erkennbar.</w:t>
            </w:r>
            <w:r w:rsidR="00E45266">
              <w:rPr>
                <w:sz w:val="24"/>
                <w:lang w:eastAsia="de-DE"/>
              </w:rPr>
              <w:t xml:space="preserve"> </w:t>
            </w:r>
            <w:r w:rsidR="001329AB">
              <w:rPr>
                <w:sz w:val="24"/>
                <w:lang w:eastAsia="de-DE"/>
              </w:rPr>
              <w:t xml:space="preserve">Ziele </w:t>
            </w:r>
            <w:r w:rsidR="00E45266">
              <w:rPr>
                <w:sz w:val="24"/>
                <w:lang w:eastAsia="de-DE"/>
              </w:rPr>
              <w:t xml:space="preserve">sind explizit </w:t>
            </w:r>
            <w:r w:rsidR="005630F5">
              <w:rPr>
                <w:sz w:val="24"/>
                <w:lang w:eastAsia="de-DE"/>
              </w:rPr>
              <w:t xml:space="preserve">und fordern </w:t>
            </w:r>
            <w:r w:rsidR="001329AB">
              <w:rPr>
                <w:sz w:val="24"/>
                <w:lang w:eastAsia="de-DE"/>
              </w:rPr>
              <w:t>Spielende</w:t>
            </w:r>
            <w:r w:rsidR="005630F5">
              <w:rPr>
                <w:sz w:val="24"/>
                <w:lang w:eastAsia="de-DE"/>
              </w:rPr>
              <w:t xml:space="preserve"> zu Handlungen auf</w:t>
            </w:r>
            <w:r w:rsidR="001329AB">
              <w:rPr>
                <w:sz w:val="24"/>
                <w:lang w:eastAsia="de-DE"/>
              </w:rPr>
              <w:t>. Bindende Regeln schränken Wege zur Zielerreichung ein und reduzieren Komplexität.</w:t>
            </w:r>
          </w:p>
        </w:tc>
        <w:tc>
          <w:tcPr>
            <w:tcW w:w="1161" w:type="dxa"/>
            <w:tcBorders>
              <w:left w:val="single" w:sz="4" w:space="0" w:color="auto"/>
              <w:right w:val="single" w:sz="4" w:space="0" w:color="auto"/>
            </w:tcBorders>
            <w:shd w:val="clear" w:color="auto" w:fill="auto"/>
            <w:vAlign w:val="center"/>
          </w:tcPr>
          <w:p w14:paraId="78CC1CF2" w14:textId="77777777" w:rsidR="000C350A" w:rsidRDefault="000C350A" w:rsidP="0089275E">
            <w:pPr>
              <w:spacing w:line="276" w:lineRule="auto"/>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412669FC" w14:textId="77777777" w:rsidTr="000C350A">
        <w:tc>
          <w:tcPr>
            <w:tcW w:w="1386" w:type="dxa"/>
          </w:tcPr>
          <w:p w14:paraId="24C3B9FA" w14:textId="10A55C53" w:rsidR="008E7D58" w:rsidRDefault="008E7D58" w:rsidP="008E7D58">
            <w:pPr>
              <w:spacing w:line="276" w:lineRule="auto"/>
              <w:rPr>
                <w:sz w:val="24"/>
                <w:lang w:eastAsia="de-DE"/>
              </w:rPr>
            </w:pPr>
            <w:r w:rsidRPr="003E1D6B">
              <w:rPr>
                <w:sz w:val="24"/>
                <w:lang w:eastAsia="de-DE"/>
              </w:rPr>
              <w:t>Kontrolle übertragen</w:t>
            </w:r>
          </w:p>
        </w:tc>
        <w:tc>
          <w:tcPr>
            <w:tcW w:w="6520" w:type="dxa"/>
          </w:tcPr>
          <w:p w14:paraId="03C27FE5" w14:textId="32D3836A" w:rsidR="008E7D58" w:rsidRDefault="008E7D58" w:rsidP="008E7D58">
            <w:pPr>
              <w:spacing w:line="276" w:lineRule="auto"/>
              <w:rPr>
                <w:sz w:val="24"/>
                <w:lang w:eastAsia="de-DE"/>
              </w:rPr>
            </w:pPr>
            <w:r>
              <w:rPr>
                <w:sz w:val="24"/>
                <w:lang w:eastAsia="de-DE"/>
              </w:rPr>
              <w:t>Spielende</w:t>
            </w:r>
            <w:r w:rsidRPr="003E1D6B">
              <w:rPr>
                <w:sz w:val="24"/>
                <w:lang w:eastAsia="de-DE"/>
              </w:rPr>
              <w:t xml:space="preserve"> haben </w:t>
            </w:r>
            <w:r>
              <w:rPr>
                <w:sz w:val="24"/>
                <w:lang w:eastAsia="de-DE"/>
              </w:rPr>
              <w:t xml:space="preserve">eine </w:t>
            </w:r>
            <w:r w:rsidRPr="003E1D6B">
              <w:rPr>
                <w:sz w:val="24"/>
                <w:lang w:eastAsia="de-DE"/>
              </w:rPr>
              <w:t>aktive Ro</w:t>
            </w:r>
            <w:r>
              <w:rPr>
                <w:sz w:val="24"/>
                <w:lang w:eastAsia="de-DE"/>
              </w:rPr>
              <w:t>lle im Spiel und üben Kontrolle aus.</w:t>
            </w:r>
          </w:p>
        </w:tc>
        <w:tc>
          <w:tcPr>
            <w:tcW w:w="1161" w:type="dxa"/>
            <w:tcBorders>
              <w:left w:val="single" w:sz="4" w:space="0" w:color="auto"/>
              <w:right w:val="single" w:sz="4" w:space="0" w:color="auto"/>
            </w:tcBorders>
            <w:shd w:val="clear" w:color="auto" w:fill="auto"/>
            <w:vAlign w:val="center"/>
          </w:tcPr>
          <w:p w14:paraId="57B12006" w14:textId="77655A3D" w:rsidR="008E7D58" w:rsidRPr="00A8164E" w:rsidRDefault="008E7D58" w:rsidP="008E7D58">
            <w:pPr>
              <w:spacing w:line="276" w:lineRule="auto"/>
              <w:jc w:val="center"/>
              <w:rPr>
                <w:rFonts w:cs="Open Sans"/>
                <w:szCs w:val="20"/>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6CC20EA5" w14:textId="77777777" w:rsidTr="000C350A">
        <w:tc>
          <w:tcPr>
            <w:tcW w:w="1386" w:type="dxa"/>
          </w:tcPr>
          <w:p w14:paraId="3A252A54" w14:textId="77777777" w:rsidR="008E7D58" w:rsidRDefault="008E7D58" w:rsidP="008E7D58">
            <w:pPr>
              <w:spacing w:line="276" w:lineRule="auto"/>
              <w:rPr>
                <w:sz w:val="24"/>
                <w:lang w:eastAsia="de-DE"/>
              </w:rPr>
            </w:pPr>
            <w:r w:rsidRPr="00E46AA5">
              <w:rPr>
                <w:sz w:val="24"/>
                <w:lang w:eastAsia="de-DE"/>
              </w:rPr>
              <w:t>Erfolgskontrolle ermöglichen</w:t>
            </w:r>
          </w:p>
        </w:tc>
        <w:tc>
          <w:tcPr>
            <w:tcW w:w="6520" w:type="dxa"/>
          </w:tcPr>
          <w:p w14:paraId="3ED5AD56" w14:textId="5A7291F0" w:rsidR="008E7D58" w:rsidRDefault="008E7D58" w:rsidP="008E7D58">
            <w:pPr>
              <w:spacing w:line="276" w:lineRule="auto"/>
              <w:rPr>
                <w:sz w:val="24"/>
                <w:lang w:eastAsia="de-DE"/>
              </w:rPr>
            </w:pPr>
            <w:r w:rsidRPr="00E46AA5">
              <w:rPr>
                <w:sz w:val="24"/>
                <w:lang w:eastAsia="de-DE"/>
              </w:rPr>
              <w:t xml:space="preserve">Spielende erhalten </w:t>
            </w:r>
            <w:r>
              <w:rPr>
                <w:sz w:val="24"/>
                <w:lang w:eastAsia="de-DE"/>
              </w:rPr>
              <w:t xml:space="preserve">unmittelbar </w:t>
            </w:r>
            <w:r w:rsidRPr="00E46AA5">
              <w:rPr>
                <w:sz w:val="24"/>
                <w:lang w:eastAsia="de-DE"/>
              </w:rPr>
              <w:t>Feedback hinsichtlich ihrer Ziele</w:t>
            </w:r>
            <w:r>
              <w:rPr>
                <w:sz w:val="24"/>
                <w:lang w:eastAsia="de-DE"/>
              </w:rPr>
              <w:t>rreichung. Das Spiel bietet ein hieran gekoppeltes Belohnungssystem.</w:t>
            </w:r>
          </w:p>
        </w:tc>
        <w:tc>
          <w:tcPr>
            <w:tcW w:w="1161" w:type="dxa"/>
            <w:tcBorders>
              <w:left w:val="single" w:sz="4" w:space="0" w:color="auto"/>
              <w:right w:val="single" w:sz="4" w:space="0" w:color="auto"/>
            </w:tcBorders>
            <w:shd w:val="clear" w:color="auto" w:fill="auto"/>
            <w:vAlign w:val="center"/>
          </w:tcPr>
          <w:p w14:paraId="26678766" w14:textId="77777777" w:rsidR="008E7D58" w:rsidRDefault="008E7D58" w:rsidP="008E7D58">
            <w:pPr>
              <w:spacing w:line="276" w:lineRule="auto"/>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54BD628B" w14:textId="77777777" w:rsidTr="000C350A">
        <w:tc>
          <w:tcPr>
            <w:tcW w:w="1386" w:type="dxa"/>
          </w:tcPr>
          <w:p w14:paraId="6BB8D1CA" w14:textId="77777777" w:rsidR="008E7D58" w:rsidRDefault="008E7D58" w:rsidP="008E7D58">
            <w:pPr>
              <w:spacing w:line="276" w:lineRule="auto"/>
              <w:rPr>
                <w:sz w:val="24"/>
                <w:lang w:eastAsia="de-DE"/>
              </w:rPr>
            </w:pPr>
            <w:r w:rsidRPr="00E46AA5">
              <w:rPr>
                <w:sz w:val="24"/>
                <w:lang w:eastAsia="de-DE"/>
              </w:rPr>
              <w:t>Sensorische Reize bieten</w:t>
            </w:r>
          </w:p>
        </w:tc>
        <w:tc>
          <w:tcPr>
            <w:tcW w:w="6520" w:type="dxa"/>
          </w:tcPr>
          <w:p w14:paraId="2C552A58" w14:textId="7A6AFE95" w:rsidR="008E7D58" w:rsidRDefault="008E7D58" w:rsidP="008E7D58">
            <w:pPr>
              <w:spacing w:line="276" w:lineRule="auto"/>
              <w:rPr>
                <w:sz w:val="24"/>
                <w:lang w:eastAsia="de-DE"/>
              </w:rPr>
            </w:pPr>
            <w:r w:rsidRPr="00DB7173">
              <w:rPr>
                <w:sz w:val="24"/>
                <w:lang w:eastAsia="de-DE"/>
              </w:rPr>
              <w:t xml:space="preserve">Das Spiel bietet sensorische (visuelle, akustische, ggf. taktile) Reize. Umfang und Qualität schlagen sich z.B. in einer detailgetreuen </w:t>
            </w:r>
            <w:r>
              <w:rPr>
                <w:sz w:val="24"/>
                <w:lang w:eastAsia="de-DE"/>
              </w:rPr>
              <w:t>grafischen Aufbereitung nieder.</w:t>
            </w:r>
          </w:p>
        </w:tc>
        <w:tc>
          <w:tcPr>
            <w:tcW w:w="1161" w:type="dxa"/>
            <w:tcBorders>
              <w:left w:val="single" w:sz="4" w:space="0" w:color="auto"/>
              <w:right w:val="single" w:sz="4" w:space="0" w:color="auto"/>
            </w:tcBorders>
            <w:shd w:val="clear" w:color="auto" w:fill="auto"/>
            <w:vAlign w:val="center"/>
          </w:tcPr>
          <w:p w14:paraId="5A464477" w14:textId="77777777" w:rsidR="008E7D58" w:rsidRDefault="008E7D58" w:rsidP="008E7D58">
            <w:pPr>
              <w:spacing w:line="276" w:lineRule="auto"/>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6EA8966C" w14:textId="77777777" w:rsidTr="000C350A">
        <w:tc>
          <w:tcPr>
            <w:tcW w:w="1386" w:type="dxa"/>
          </w:tcPr>
          <w:p w14:paraId="007A5C1F" w14:textId="77777777" w:rsidR="008E7D58" w:rsidRDefault="008E7D58" w:rsidP="008E7D58">
            <w:pPr>
              <w:spacing w:line="276" w:lineRule="auto"/>
              <w:rPr>
                <w:sz w:val="24"/>
                <w:lang w:eastAsia="de-DE"/>
              </w:rPr>
            </w:pPr>
            <w:r w:rsidRPr="00E46AA5">
              <w:rPr>
                <w:sz w:val="24"/>
                <w:lang w:eastAsia="de-DE"/>
              </w:rPr>
              <w:t>Herausforderung und Risiko gestalten</w:t>
            </w:r>
          </w:p>
        </w:tc>
        <w:tc>
          <w:tcPr>
            <w:tcW w:w="6520" w:type="dxa"/>
          </w:tcPr>
          <w:p w14:paraId="712CBAC5" w14:textId="605E80DC" w:rsidR="008E7D58" w:rsidRDefault="008E7D58" w:rsidP="008E7D58">
            <w:pPr>
              <w:spacing w:line="276" w:lineRule="auto"/>
              <w:rPr>
                <w:sz w:val="24"/>
                <w:lang w:eastAsia="de-DE"/>
              </w:rPr>
            </w:pPr>
            <w:r w:rsidRPr="00E46AA5">
              <w:rPr>
                <w:sz w:val="24"/>
                <w:lang w:eastAsia="de-DE"/>
              </w:rPr>
              <w:t xml:space="preserve">Herausforderung und Risiko </w:t>
            </w:r>
            <w:r>
              <w:rPr>
                <w:sz w:val="24"/>
                <w:lang w:eastAsia="de-DE"/>
              </w:rPr>
              <w:t xml:space="preserve">des Spiels </w:t>
            </w:r>
            <w:r w:rsidRPr="00E46AA5">
              <w:rPr>
                <w:sz w:val="24"/>
                <w:lang w:eastAsia="de-DE"/>
              </w:rPr>
              <w:t>stehen in einem Zusammenhang</w:t>
            </w:r>
            <w:r>
              <w:rPr>
                <w:sz w:val="24"/>
                <w:lang w:eastAsia="de-DE"/>
              </w:rPr>
              <w:t xml:space="preserve">. Zudem </w:t>
            </w:r>
            <w:r w:rsidRPr="00E46AA5">
              <w:rPr>
                <w:sz w:val="24"/>
                <w:lang w:eastAsia="de-DE"/>
              </w:rPr>
              <w:t xml:space="preserve">bietet </w:t>
            </w:r>
            <w:r>
              <w:rPr>
                <w:sz w:val="24"/>
                <w:lang w:eastAsia="de-DE"/>
              </w:rPr>
              <w:t xml:space="preserve">es einen </w:t>
            </w:r>
            <w:r w:rsidRPr="00E46AA5">
              <w:rPr>
                <w:sz w:val="24"/>
                <w:lang w:eastAsia="de-DE"/>
              </w:rPr>
              <w:t>optimalen, d.h. individuell anpassbaren, Schwierigkeitsgrad</w:t>
            </w:r>
            <w:r>
              <w:rPr>
                <w:sz w:val="24"/>
                <w:lang w:eastAsia="de-DE"/>
              </w:rPr>
              <w:t>.</w:t>
            </w:r>
          </w:p>
        </w:tc>
        <w:tc>
          <w:tcPr>
            <w:tcW w:w="1161" w:type="dxa"/>
            <w:tcBorders>
              <w:left w:val="single" w:sz="4" w:space="0" w:color="auto"/>
              <w:right w:val="single" w:sz="4" w:space="0" w:color="auto"/>
            </w:tcBorders>
            <w:shd w:val="clear" w:color="auto" w:fill="auto"/>
            <w:vAlign w:val="center"/>
          </w:tcPr>
          <w:p w14:paraId="5C060988" w14:textId="77777777" w:rsidR="008E7D58" w:rsidRDefault="008E7D58" w:rsidP="008E7D58">
            <w:pPr>
              <w:spacing w:line="276" w:lineRule="auto"/>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59643422" w14:textId="77777777" w:rsidTr="000C350A">
        <w:tc>
          <w:tcPr>
            <w:tcW w:w="1386" w:type="dxa"/>
          </w:tcPr>
          <w:p w14:paraId="549F9C47" w14:textId="77777777" w:rsidR="008E7D58" w:rsidRDefault="008E7D58" w:rsidP="008E7D58">
            <w:pPr>
              <w:spacing w:line="276" w:lineRule="auto"/>
              <w:rPr>
                <w:sz w:val="24"/>
                <w:lang w:eastAsia="de-DE"/>
              </w:rPr>
            </w:pPr>
            <w:r w:rsidRPr="003E1D6B">
              <w:rPr>
                <w:sz w:val="24"/>
                <w:lang w:eastAsia="de-DE"/>
              </w:rPr>
              <w:lastRenderedPageBreak/>
              <w:t>Neugier wecken</w:t>
            </w:r>
          </w:p>
        </w:tc>
        <w:tc>
          <w:tcPr>
            <w:tcW w:w="6520" w:type="dxa"/>
          </w:tcPr>
          <w:p w14:paraId="0A3B3121" w14:textId="2541EBF8" w:rsidR="008E7D58" w:rsidRDefault="008E7D58" w:rsidP="008E7D58">
            <w:pPr>
              <w:spacing w:line="276" w:lineRule="auto"/>
              <w:rPr>
                <w:sz w:val="24"/>
                <w:lang w:eastAsia="de-DE"/>
              </w:rPr>
            </w:pPr>
            <w:r>
              <w:rPr>
                <w:sz w:val="24"/>
                <w:lang w:eastAsia="de-DE"/>
              </w:rPr>
              <w:t xml:space="preserve">Das </w:t>
            </w:r>
            <w:r w:rsidRPr="003E1D6B">
              <w:rPr>
                <w:sz w:val="24"/>
                <w:lang w:eastAsia="de-DE"/>
              </w:rPr>
              <w:t xml:space="preserve">Spiel enthält auf </w:t>
            </w:r>
            <w:r>
              <w:rPr>
                <w:sz w:val="24"/>
                <w:lang w:eastAsia="de-DE"/>
              </w:rPr>
              <w:t xml:space="preserve">die jeweiligen </w:t>
            </w:r>
            <w:r w:rsidRPr="003E1D6B">
              <w:rPr>
                <w:sz w:val="24"/>
                <w:lang w:eastAsia="de-DE"/>
              </w:rPr>
              <w:t>Spiele</w:t>
            </w:r>
            <w:r>
              <w:rPr>
                <w:sz w:val="24"/>
                <w:lang w:eastAsia="de-DE"/>
              </w:rPr>
              <w:t>nden</w:t>
            </w:r>
            <w:r w:rsidRPr="003E1D6B">
              <w:rPr>
                <w:sz w:val="24"/>
                <w:lang w:eastAsia="de-DE"/>
              </w:rPr>
              <w:t xml:space="preserve"> abgestimmte Rätsel und Geheimnisse</w:t>
            </w:r>
            <w:r>
              <w:rPr>
                <w:sz w:val="24"/>
                <w:lang w:eastAsia="de-DE"/>
              </w:rPr>
              <w:t>. Dies wird</w:t>
            </w:r>
            <w:r w:rsidRPr="003E1D6B">
              <w:rPr>
                <w:sz w:val="24"/>
                <w:lang w:eastAsia="de-DE"/>
              </w:rPr>
              <w:t xml:space="preserve"> z.B. durch unterschiedliche zu erreichende Level umgesetzt</w:t>
            </w:r>
            <w:r>
              <w:rPr>
                <w:sz w:val="24"/>
                <w:lang w:eastAsia="de-DE"/>
              </w:rPr>
              <w:t>. Im Spiel</w:t>
            </w:r>
            <w:r w:rsidRPr="003E1D6B">
              <w:rPr>
                <w:sz w:val="24"/>
                <w:lang w:eastAsia="de-DE"/>
              </w:rPr>
              <w:t xml:space="preserve"> sind Spielelemente eingebunden, die neu</w:t>
            </w:r>
            <w:r>
              <w:rPr>
                <w:sz w:val="24"/>
                <w:lang w:eastAsia="de-DE"/>
              </w:rPr>
              <w:t>,</w:t>
            </w:r>
            <w:r w:rsidRPr="003E1D6B">
              <w:rPr>
                <w:sz w:val="24"/>
                <w:lang w:eastAsia="de-DE"/>
              </w:rPr>
              <w:t xml:space="preserve"> zunächst nicht erklärbar </w:t>
            </w:r>
            <w:r>
              <w:rPr>
                <w:sz w:val="24"/>
                <w:lang w:eastAsia="de-DE"/>
              </w:rPr>
              <w:t>und</w:t>
            </w:r>
            <w:r w:rsidRPr="003E1D6B">
              <w:rPr>
                <w:sz w:val="24"/>
                <w:lang w:eastAsia="de-DE"/>
              </w:rPr>
              <w:t>/</w:t>
            </w:r>
            <w:r>
              <w:rPr>
                <w:sz w:val="24"/>
                <w:lang w:eastAsia="de-DE"/>
              </w:rPr>
              <w:t>oder</w:t>
            </w:r>
            <w:r w:rsidRPr="003E1D6B">
              <w:rPr>
                <w:sz w:val="24"/>
                <w:lang w:eastAsia="de-DE"/>
              </w:rPr>
              <w:t xml:space="preserve"> u</w:t>
            </w:r>
            <w:r>
              <w:rPr>
                <w:sz w:val="24"/>
                <w:lang w:eastAsia="de-DE"/>
              </w:rPr>
              <w:t>nerwartet sind.</w:t>
            </w:r>
          </w:p>
        </w:tc>
        <w:tc>
          <w:tcPr>
            <w:tcW w:w="1161" w:type="dxa"/>
            <w:tcBorders>
              <w:left w:val="single" w:sz="4" w:space="0" w:color="auto"/>
              <w:right w:val="single" w:sz="4" w:space="0" w:color="auto"/>
            </w:tcBorders>
            <w:shd w:val="clear" w:color="auto" w:fill="auto"/>
            <w:vAlign w:val="center"/>
          </w:tcPr>
          <w:p w14:paraId="1BD87098" w14:textId="77777777" w:rsidR="008E7D58" w:rsidRDefault="008E7D58" w:rsidP="008E7D58">
            <w:pPr>
              <w:spacing w:line="276" w:lineRule="auto"/>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674E7708" w14:textId="77777777" w:rsidTr="00A16495">
        <w:trPr>
          <w:trHeight w:val="454"/>
        </w:trPr>
        <w:tc>
          <w:tcPr>
            <w:tcW w:w="9067" w:type="dxa"/>
            <w:gridSpan w:val="3"/>
            <w:vAlign w:val="center"/>
          </w:tcPr>
          <w:p w14:paraId="76098C0B" w14:textId="7EF32660" w:rsidR="008E7D58" w:rsidRPr="00A8164E" w:rsidRDefault="008E7D58" w:rsidP="00A16495">
            <w:pPr>
              <w:spacing w:line="276" w:lineRule="auto"/>
              <w:rPr>
                <w:rFonts w:cs="Open Sans"/>
                <w:szCs w:val="20"/>
              </w:rPr>
            </w:pPr>
            <w:r>
              <w:rPr>
                <w:i/>
                <w:sz w:val="24"/>
                <w:lang w:eastAsia="de-DE"/>
              </w:rPr>
              <w:t>Subjektive Empfindungen</w:t>
            </w:r>
          </w:p>
        </w:tc>
      </w:tr>
      <w:tr w:rsidR="008E7D58" w14:paraId="60AA65C2" w14:textId="77777777" w:rsidTr="000C350A">
        <w:tc>
          <w:tcPr>
            <w:tcW w:w="1386" w:type="dxa"/>
          </w:tcPr>
          <w:p w14:paraId="4839639E" w14:textId="7ABA669A" w:rsidR="008E7D58" w:rsidRDefault="008E7D58" w:rsidP="008E7D58">
            <w:pPr>
              <w:spacing w:line="276" w:lineRule="auto"/>
              <w:rPr>
                <w:sz w:val="24"/>
                <w:lang w:eastAsia="de-DE"/>
              </w:rPr>
            </w:pPr>
            <w:r w:rsidRPr="002A66BF">
              <w:rPr>
                <w:sz w:val="24"/>
                <w:lang w:eastAsia="de-DE"/>
              </w:rPr>
              <w:t>Interesse</w:t>
            </w:r>
            <w:r>
              <w:rPr>
                <w:sz w:val="24"/>
                <w:lang w:eastAsia="de-DE"/>
              </w:rPr>
              <w:t xml:space="preserve"> wecken</w:t>
            </w:r>
          </w:p>
        </w:tc>
        <w:tc>
          <w:tcPr>
            <w:tcW w:w="6520" w:type="dxa"/>
          </w:tcPr>
          <w:p w14:paraId="5CAF8BF3" w14:textId="77777777" w:rsidR="008E7D58" w:rsidRDefault="008E7D58" w:rsidP="008E7D58">
            <w:pPr>
              <w:spacing w:line="276" w:lineRule="auto"/>
              <w:rPr>
                <w:sz w:val="24"/>
                <w:lang w:eastAsia="de-DE"/>
              </w:rPr>
            </w:pPr>
            <w:r>
              <w:rPr>
                <w:sz w:val="24"/>
                <w:lang w:eastAsia="de-DE"/>
              </w:rPr>
              <w:t xml:space="preserve">Das </w:t>
            </w:r>
            <w:r w:rsidRPr="002A66BF">
              <w:rPr>
                <w:sz w:val="24"/>
                <w:lang w:eastAsia="de-DE"/>
              </w:rPr>
              <w:t>Spiel weckt bei Lernenden Interesse</w:t>
            </w:r>
            <w:r>
              <w:rPr>
                <w:sz w:val="24"/>
                <w:lang w:eastAsia="de-DE"/>
              </w:rPr>
              <w:t>, ggf. ein</w:t>
            </w:r>
            <w:r w:rsidRPr="002A66BF">
              <w:rPr>
                <w:sz w:val="24"/>
                <w:lang w:eastAsia="de-DE"/>
              </w:rPr>
              <w:t xml:space="preserve"> höheres Interesse als klassischer Unterricht</w:t>
            </w:r>
            <w:r>
              <w:rPr>
                <w:sz w:val="24"/>
                <w:lang w:eastAsia="de-DE"/>
              </w:rPr>
              <w:t>.</w:t>
            </w:r>
          </w:p>
        </w:tc>
        <w:tc>
          <w:tcPr>
            <w:tcW w:w="1161" w:type="dxa"/>
            <w:tcBorders>
              <w:left w:val="single" w:sz="4" w:space="0" w:color="auto"/>
              <w:right w:val="single" w:sz="4" w:space="0" w:color="auto"/>
            </w:tcBorders>
            <w:shd w:val="clear" w:color="auto" w:fill="auto"/>
            <w:vAlign w:val="center"/>
          </w:tcPr>
          <w:p w14:paraId="5598C42A" w14:textId="77777777" w:rsidR="008E7D58" w:rsidRPr="00A8164E" w:rsidRDefault="008E7D58" w:rsidP="008E7D58">
            <w:pPr>
              <w:spacing w:line="276" w:lineRule="auto"/>
              <w:jc w:val="center"/>
              <w:rPr>
                <w:rFonts w:cs="Open Sans"/>
                <w:szCs w:val="20"/>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7D0E4877" w14:textId="77777777" w:rsidTr="000C350A">
        <w:tc>
          <w:tcPr>
            <w:tcW w:w="1386" w:type="dxa"/>
          </w:tcPr>
          <w:p w14:paraId="040EAFE7" w14:textId="1627433D" w:rsidR="008E7D58" w:rsidRDefault="008E7D58" w:rsidP="008E7D58">
            <w:pPr>
              <w:spacing w:line="276" w:lineRule="auto"/>
              <w:rPr>
                <w:sz w:val="24"/>
                <w:lang w:eastAsia="de-DE"/>
              </w:rPr>
            </w:pPr>
            <w:r w:rsidRPr="002A66BF">
              <w:rPr>
                <w:sz w:val="24"/>
                <w:lang w:eastAsia="de-DE"/>
              </w:rPr>
              <w:t>Spaß</w:t>
            </w:r>
            <w:r>
              <w:rPr>
                <w:sz w:val="24"/>
                <w:lang w:eastAsia="de-DE"/>
              </w:rPr>
              <w:t xml:space="preserve"> ermöglichen</w:t>
            </w:r>
          </w:p>
        </w:tc>
        <w:tc>
          <w:tcPr>
            <w:tcW w:w="6520" w:type="dxa"/>
          </w:tcPr>
          <w:p w14:paraId="427EDE06" w14:textId="0C6C4427" w:rsidR="008E7D58" w:rsidRDefault="008E7D58" w:rsidP="008E7D58">
            <w:pPr>
              <w:spacing w:line="276" w:lineRule="auto"/>
              <w:rPr>
                <w:sz w:val="24"/>
                <w:lang w:eastAsia="de-DE"/>
              </w:rPr>
            </w:pPr>
            <w:r>
              <w:rPr>
                <w:sz w:val="24"/>
                <w:lang w:eastAsia="de-DE"/>
              </w:rPr>
              <w:t xml:space="preserve">Spaß fördert den Lernerfolg. Die </w:t>
            </w:r>
            <w:r w:rsidRPr="002A66BF">
              <w:rPr>
                <w:sz w:val="24"/>
                <w:lang w:eastAsia="de-DE"/>
              </w:rPr>
              <w:t xml:space="preserve">Herausforderungen des Spiels können </w:t>
            </w:r>
            <w:r>
              <w:rPr>
                <w:sz w:val="24"/>
                <w:lang w:eastAsia="de-DE"/>
              </w:rPr>
              <w:t xml:space="preserve">von den Spielenden </w:t>
            </w:r>
            <w:r w:rsidRPr="002A66BF">
              <w:rPr>
                <w:sz w:val="24"/>
                <w:lang w:eastAsia="de-DE"/>
              </w:rPr>
              <w:t>gut bewältigt werden</w:t>
            </w:r>
            <w:r>
              <w:rPr>
                <w:sz w:val="24"/>
                <w:lang w:eastAsia="de-DE"/>
              </w:rPr>
              <w:t>. Das</w:t>
            </w:r>
            <w:r w:rsidRPr="002A66BF">
              <w:rPr>
                <w:sz w:val="24"/>
                <w:lang w:eastAsia="de-DE"/>
              </w:rPr>
              <w:t xml:space="preserve"> Schwierigkeitsniveau ist an </w:t>
            </w:r>
            <w:r>
              <w:rPr>
                <w:sz w:val="24"/>
                <w:lang w:eastAsia="de-DE"/>
              </w:rPr>
              <w:t xml:space="preserve">die </w:t>
            </w:r>
            <w:r w:rsidRPr="002A66BF">
              <w:rPr>
                <w:sz w:val="24"/>
                <w:lang w:eastAsia="de-DE"/>
              </w:rPr>
              <w:t>Fertigkeiten, Fähigk</w:t>
            </w:r>
            <w:r>
              <w:rPr>
                <w:sz w:val="24"/>
                <w:lang w:eastAsia="de-DE"/>
              </w:rPr>
              <w:t>eiten und Kenntnisse der Spielenden</w:t>
            </w:r>
            <w:r w:rsidRPr="002A66BF">
              <w:rPr>
                <w:sz w:val="24"/>
                <w:lang w:eastAsia="de-DE"/>
              </w:rPr>
              <w:t xml:space="preserve"> angepasst</w:t>
            </w:r>
            <w:r>
              <w:rPr>
                <w:sz w:val="24"/>
                <w:lang w:eastAsia="de-DE"/>
              </w:rPr>
              <w:t>.</w:t>
            </w:r>
          </w:p>
        </w:tc>
        <w:tc>
          <w:tcPr>
            <w:tcW w:w="1161" w:type="dxa"/>
            <w:tcBorders>
              <w:left w:val="single" w:sz="4" w:space="0" w:color="auto"/>
              <w:right w:val="single" w:sz="4" w:space="0" w:color="auto"/>
            </w:tcBorders>
            <w:shd w:val="clear" w:color="auto" w:fill="auto"/>
            <w:vAlign w:val="center"/>
          </w:tcPr>
          <w:p w14:paraId="1818735C" w14:textId="77777777" w:rsidR="008E7D58" w:rsidRPr="00A8164E" w:rsidRDefault="008E7D58" w:rsidP="008E7D58">
            <w:pPr>
              <w:spacing w:line="276" w:lineRule="auto"/>
              <w:jc w:val="center"/>
              <w:rPr>
                <w:rFonts w:cs="Open Sans"/>
                <w:szCs w:val="20"/>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78A50304" w14:textId="77777777" w:rsidTr="000C350A">
        <w:tc>
          <w:tcPr>
            <w:tcW w:w="1386" w:type="dxa"/>
          </w:tcPr>
          <w:p w14:paraId="27FEF857" w14:textId="7847936B" w:rsidR="008E7D58" w:rsidRDefault="008E7D58" w:rsidP="008E7D58">
            <w:pPr>
              <w:spacing w:line="276" w:lineRule="auto"/>
              <w:rPr>
                <w:sz w:val="24"/>
                <w:lang w:eastAsia="de-DE"/>
              </w:rPr>
            </w:pPr>
            <w:r w:rsidRPr="002A66BF">
              <w:rPr>
                <w:sz w:val="24"/>
                <w:lang w:eastAsia="de-DE"/>
              </w:rPr>
              <w:t>Engagement</w:t>
            </w:r>
            <w:r>
              <w:rPr>
                <w:sz w:val="24"/>
                <w:lang w:eastAsia="de-DE"/>
              </w:rPr>
              <w:t xml:space="preserve"> fördern</w:t>
            </w:r>
          </w:p>
        </w:tc>
        <w:tc>
          <w:tcPr>
            <w:tcW w:w="6520" w:type="dxa"/>
          </w:tcPr>
          <w:p w14:paraId="7B89E5DD" w14:textId="0D6C5E7B" w:rsidR="008E7D58" w:rsidRDefault="008E7D58" w:rsidP="008E7D58">
            <w:pPr>
              <w:spacing w:line="276" w:lineRule="auto"/>
              <w:rPr>
                <w:sz w:val="24"/>
                <w:lang w:eastAsia="de-DE"/>
              </w:rPr>
            </w:pPr>
            <w:r>
              <w:rPr>
                <w:sz w:val="24"/>
                <w:lang w:eastAsia="de-DE"/>
              </w:rPr>
              <w:t xml:space="preserve">Das Spiel ermöglicht den Spielenden </w:t>
            </w:r>
            <w:r w:rsidRPr="002A66BF">
              <w:rPr>
                <w:sz w:val="24"/>
                <w:lang w:eastAsia="de-DE"/>
              </w:rPr>
              <w:t>Kontrolle und Einflussmöglichkeiten auf den Spielverlauf</w:t>
            </w:r>
            <w:r>
              <w:rPr>
                <w:sz w:val="24"/>
                <w:lang w:eastAsia="de-DE"/>
              </w:rPr>
              <w:t>. Spielende können sich als handlungs- und selbstwirksam erleben. Das</w:t>
            </w:r>
            <w:r w:rsidRPr="002A66BF">
              <w:rPr>
                <w:sz w:val="24"/>
                <w:lang w:eastAsia="de-DE"/>
              </w:rPr>
              <w:t xml:space="preserve"> Spiel verringert die Ablenkung durch äußere Einflüsse</w:t>
            </w:r>
            <w:r>
              <w:rPr>
                <w:sz w:val="24"/>
                <w:lang w:eastAsia="de-DE"/>
              </w:rPr>
              <w:t>.</w:t>
            </w:r>
          </w:p>
        </w:tc>
        <w:tc>
          <w:tcPr>
            <w:tcW w:w="1161" w:type="dxa"/>
            <w:tcBorders>
              <w:left w:val="single" w:sz="4" w:space="0" w:color="auto"/>
              <w:right w:val="single" w:sz="4" w:space="0" w:color="auto"/>
            </w:tcBorders>
            <w:shd w:val="clear" w:color="auto" w:fill="auto"/>
            <w:vAlign w:val="center"/>
          </w:tcPr>
          <w:p w14:paraId="74443B54" w14:textId="77777777" w:rsidR="008E7D58" w:rsidRPr="00A8164E" w:rsidRDefault="008E7D58" w:rsidP="008E7D58">
            <w:pPr>
              <w:spacing w:line="276" w:lineRule="auto"/>
              <w:jc w:val="center"/>
              <w:rPr>
                <w:rFonts w:cs="Open Sans"/>
                <w:szCs w:val="20"/>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r w:rsidR="008E7D58" w14:paraId="5A525298" w14:textId="77777777" w:rsidTr="000C350A">
        <w:tc>
          <w:tcPr>
            <w:tcW w:w="1386" w:type="dxa"/>
          </w:tcPr>
          <w:p w14:paraId="6D71BA3E" w14:textId="5405F3FF" w:rsidR="008E7D58" w:rsidRDefault="008E7D58" w:rsidP="008E7D58">
            <w:pPr>
              <w:spacing w:line="276" w:lineRule="auto"/>
              <w:rPr>
                <w:sz w:val="24"/>
                <w:lang w:eastAsia="de-DE"/>
              </w:rPr>
            </w:pPr>
            <w:r w:rsidRPr="002A66BF">
              <w:rPr>
                <w:sz w:val="24"/>
                <w:lang w:eastAsia="de-DE"/>
              </w:rPr>
              <w:t>Sicherheit</w:t>
            </w:r>
            <w:r>
              <w:rPr>
                <w:sz w:val="24"/>
                <w:lang w:eastAsia="de-DE"/>
              </w:rPr>
              <w:t xml:space="preserve"> bieten</w:t>
            </w:r>
          </w:p>
        </w:tc>
        <w:tc>
          <w:tcPr>
            <w:tcW w:w="6520" w:type="dxa"/>
          </w:tcPr>
          <w:p w14:paraId="3F02DE3A" w14:textId="44532F96" w:rsidR="008E7D58" w:rsidRDefault="008E7D58" w:rsidP="008E7D58">
            <w:pPr>
              <w:spacing w:line="276" w:lineRule="auto"/>
              <w:rPr>
                <w:sz w:val="24"/>
                <w:lang w:eastAsia="de-DE"/>
              </w:rPr>
            </w:pPr>
            <w:r>
              <w:rPr>
                <w:sz w:val="24"/>
                <w:lang w:eastAsia="de-DE"/>
              </w:rPr>
              <w:t xml:space="preserve">Das </w:t>
            </w:r>
            <w:r w:rsidRPr="002A66BF">
              <w:rPr>
                <w:sz w:val="24"/>
                <w:lang w:eastAsia="de-DE"/>
              </w:rPr>
              <w:t>Spiel kann in angstfreier Atmosphäre gespielt werden</w:t>
            </w:r>
            <w:r>
              <w:rPr>
                <w:sz w:val="24"/>
                <w:lang w:eastAsia="de-DE"/>
              </w:rPr>
              <w:t>.</w:t>
            </w:r>
            <w:r w:rsidRPr="002A66BF">
              <w:rPr>
                <w:sz w:val="24"/>
                <w:lang w:eastAsia="de-DE"/>
              </w:rPr>
              <w:t xml:space="preserve"> </w:t>
            </w:r>
            <w:r>
              <w:rPr>
                <w:sz w:val="24"/>
                <w:lang w:eastAsia="de-DE"/>
              </w:rPr>
              <w:t xml:space="preserve">Es </w:t>
            </w:r>
            <w:r w:rsidRPr="001A3178">
              <w:rPr>
                <w:sz w:val="24"/>
                <w:lang w:eastAsia="de-DE"/>
              </w:rPr>
              <w:t>unterstützt explorative Handlungen.</w:t>
            </w:r>
            <w:r>
              <w:rPr>
                <w:sz w:val="24"/>
                <w:lang w:eastAsia="de-DE"/>
              </w:rPr>
              <w:t xml:space="preserve"> </w:t>
            </w:r>
            <w:r w:rsidRPr="002A66BF">
              <w:rPr>
                <w:sz w:val="24"/>
                <w:lang w:eastAsia="de-DE"/>
              </w:rPr>
              <w:t>Spielhandlungen haben keine nega</w:t>
            </w:r>
            <w:r>
              <w:rPr>
                <w:sz w:val="24"/>
                <w:lang w:eastAsia="de-DE"/>
              </w:rPr>
              <w:t>tiven Auswirkungen in der Reali</w:t>
            </w:r>
            <w:r w:rsidRPr="002A66BF">
              <w:rPr>
                <w:sz w:val="24"/>
                <w:lang w:eastAsia="de-DE"/>
              </w:rPr>
              <w:t>tät</w:t>
            </w:r>
            <w:r>
              <w:rPr>
                <w:sz w:val="24"/>
                <w:lang w:eastAsia="de-DE"/>
              </w:rPr>
              <w:t xml:space="preserve">. </w:t>
            </w:r>
          </w:p>
        </w:tc>
        <w:tc>
          <w:tcPr>
            <w:tcW w:w="1161" w:type="dxa"/>
            <w:tcBorders>
              <w:left w:val="single" w:sz="4" w:space="0" w:color="auto"/>
              <w:right w:val="single" w:sz="4" w:space="0" w:color="auto"/>
            </w:tcBorders>
            <w:shd w:val="clear" w:color="auto" w:fill="auto"/>
            <w:vAlign w:val="center"/>
          </w:tcPr>
          <w:p w14:paraId="6C141ABA" w14:textId="77777777" w:rsidR="008E7D58" w:rsidRPr="00A8164E" w:rsidRDefault="008E7D58" w:rsidP="008E7D58">
            <w:pPr>
              <w:spacing w:line="276" w:lineRule="auto"/>
              <w:jc w:val="center"/>
              <w:rPr>
                <w:rFonts w:cs="Open Sans"/>
                <w:szCs w:val="20"/>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876761">
              <w:rPr>
                <w:rFonts w:cs="Open Sans"/>
                <w:szCs w:val="20"/>
              </w:rPr>
            </w:r>
            <w:r w:rsidR="00876761">
              <w:rPr>
                <w:rFonts w:cs="Open Sans"/>
                <w:szCs w:val="20"/>
              </w:rPr>
              <w:fldChar w:fldCharType="separate"/>
            </w:r>
            <w:r w:rsidRPr="00A8164E">
              <w:rPr>
                <w:rFonts w:cs="Open Sans"/>
                <w:szCs w:val="20"/>
              </w:rPr>
              <w:fldChar w:fldCharType="end"/>
            </w:r>
          </w:p>
        </w:tc>
      </w:tr>
    </w:tbl>
    <w:p w14:paraId="00CAD4B5" w14:textId="77777777" w:rsidR="000C350A" w:rsidRDefault="000C350A" w:rsidP="00F45693">
      <w:pPr>
        <w:spacing w:line="276" w:lineRule="auto"/>
        <w:rPr>
          <w:sz w:val="24"/>
          <w:lang w:eastAsia="de-DE"/>
        </w:rPr>
      </w:pPr>
    </w:p>
    <w:p w14:paraId="124980BF" w14:textId="622BE27B" w:rsidR="005A7562" w:rsidRPr="008E7D58" w:rsidRDefault="002E2596" w:rsidP="005A7562">
      <w:pPr>
        <w:pStyle w:val="berschrift2"/>
        <w:spacing w:before="360" w:line="276" w:lineRule="auto"/>
        <w:rPr>
          <w:lang w:val="en-US"/>
        </w:rPr>
      </w:pPr>
      <w:r w:rsidRPr="008E7D58">
        <w:rPr>
          <w:lang w:val="en-US"/>
        </w:rPr>
        <w:t>Liter</w:t>
      </w:r>
      <w:r w:rsidR="00A16495">
        <w:rPr>
          <w:lang w:val="en-US"/>
        </w:rPr>
        <w:t>a</w:t>
      </w:r>
      <w:bookmarkStart w:id="0" w:name="_GoBack"/>
      <w:bookmarkEnd w:id="0"/>
      <w:r w:rsidRPr="008E7D58">
        <w:rPr>
          <w:lang w:val="en-US"/>
        </w:rPr>
        <w:t>tur und Quellen</w:t>
      </w:r>
    </w:p>
    <w:p w14:paraId="44A0C042" w14:textId="12A1030B" w:rsidR="00005C70" w:rsidRPr="00005C70" w:rsidRDefault="00005C70" w:rsidP="00005C70">
      <w:pPr>
        <w:spacing w:after="120" w:line="276" w:lineRule="auto"/>
        <w:ind w:left="567" w:hanging="567"/>
        <w:rPr>
          <w:sz w:val="24"/>
          <w:lang w:val="en-US" w:eastAsia="de-DE"/>
        </w:rPr>
      </w:pPr>
      <w:proofErr w:type="spellStart"/>
      <w:r w:rsidRPr="00005C70">
        <w:rPr>
          <w:sz w:val="24"/>
          <w:lang w:val="en-US" w:eastAsia="de-DE"/>
        </w:rPr>
        <w:t>Bergervoet</w:t>
      </w:r>
      <w:proofErr w:type="spellEnd"/>
      <w:r w:rsidRPr="00005C70">
        <w:rPr>
          <w:sz w:val="24"/>
          <w:lang w:val="en-US" w:eastAsia="de-DE"/>
        </w:rPr>
        <w:t xml:space="preserve">, E., van der </w:t>
      </w:r>
      <w:proofErr w:type="spellStart"/>
      <w:r w:rsidRPr="00005C70">
        <w:rPr>
          <w:sz w:val="24"/>
          <w:lang w:val="en-US" w:eastAsia="de-DE"/>
        </w:rPr>
        <w:t>Sluis</w:t>
      </w:r>
      <w:proofErr w:type="spellEnd"/>
      <w:r w:rsidRPr="00005C70">
        <w:rPr>
          <w:sz w:val="24"/>
          <w:lang w:val="en-US" w:eastAsia="de-DE"/>
        </w:rPr>
        <w:t xml:space="preserve">, F., van </w:t>
      </w:r>
      <w:proofErr w:type="spellStart"/>
      <w:r w:rsidRPr="00005C70">
        <w:rPr>
          <w:sz w:val="24"/>
          <w:lang w:val="en-US" w:eastAsia="de-DE"/>
        </w:rPr>
        <w:t>Dijk</w:t>
      </w:r>
      <w:proofErr w:type="spellEnd"/>
      <w:r w:rsidRPr="00005C70">
        <w:rPr>
          <w:sz w:val="24"/>
          <w:lang w:val="en-US" w:eastAsia="de-DE"/>
        </w:rPr>
        <w:t xml:space="preserve">, B. und </w:t>
      </w:r>
      <w:proofErr w:type="spellStart"/>
      <w:r w:rsidRPr="00005C70">
        <w:rPr>
          <w:sz w:val="24"/>
          <w:lang w:val="en-US" w:eastAsia="de-DE"/>
        </w:rPr>
        <w:t>Nijholt</w:t>
      </w:r>
      <w:proofErr w:type="spellEnd"/>
      <w:r w:rsidRPr="00005C70">
        <w:rPr>
          <w:sz w:val="24"/>
          <w:lang w:val="en-US" w:eastAsia="de-DE"/>
        </w:rPr>
        <w:t xml:space="preserve">, A. (2011), „Let the Game do the Talking: The influence of explicitness and </w:t>
      </w:r>
      <w:r>
        <w:rPr>
          <w:sz w:val="24"/>
          <w:lang w:val="en-US" w:eastAsia="de-DE"/>
        </w:rPr>
        <w:t>game behavior on comprehension in an educational computer game”, In Gavrilova, M. L. (</w:t>
      </w:r>
      <w:proofErr w:type="spellStart"/>
      <w:r>
        <w:rPr>
          <w:sz w:val="24"/>
          <w:lang w:val="en-US" w:eastAsia="de-DE"/>
        </w:rPr>
        <w:t>Hrsg</w:t>
      </w:r>
      <w:proofErr w:type="spellEnd"/>
      <w:r>
        <w:rPr>
          <w:sz w:val="24"/>
          <w:lang w:val="en-US" w:eastAsia="de-DE"/>
        </w:rPr>
        <w:t xml:space="preserve">.), </w:t>
      </w:r>
      <w:r>
        <w:rPr>
          <w:i/>
          <w:sz w:val="24"/>
          <w:lang w:val="en-US" w:eastAsia="de-DE"/>
        </w:rPr>
        <w:t xml:space="preserve">International Conference on </w:t>
      </w:r>
      <w:proofErr w:type="spellStart"/>
      <w:r>
        <w:rPr>
          <w:i/>
          <w:sz w:val="24"/>
          <w:lang w:val="en-US" w:eastAsia="de-DE"/>
        </w:rPr>
        <w:t>Cyberworlds</w:t>
      </w:r>
      <w:proofErr w:type="spellEnd"/>
      <w:r>
        <w:rPr>
          <w:i/>
          <w:sz w:val="24"/>
          <w:lang w:val="en-US" w:eastAsia="de-DE"/>
        </w:rPr>
        <w:t>: CYBERWORLDS 2011</w:t>
      </w:r>
      <w:r w:rsidR="00F702BF">
        <w:rPr>
          <w:sz w:val="24"/>
          <w:lang w:val="en-US" w:eastAsia="de-DE"/>
        </w:rPr>
        <w:t>, S</w:t>
      </w:r>
      <w:r w:rsidR="008B3E19" w:rsidRPr="008B3E19">
        <w:rPr>
          <w:sz w:val="24"/>
          <w:lang w:val="en-US" w:eastAsia="de-DE"/>
        </w:rPr>
        <w:t>. 120-127</w:t>
      </w:r>
      <w:r w:rsidRPr="008B3E19">
        <w:rPr>
          <w:sz w:val="24"/>
          <w:lang w:val="en-US" w:eastAsia="de-DE"/>
        </w:rPr>
        <w:t xml:space="preserve">, </w:t>
      </w:r>
      <w:r>
        <w:rPr>
          <w:sz w:val="24"/>
          <w:lang w:val="en-US" w:eastAsia="de-DE"/>
        </w:rPr>
        <w:t>DOI: 10.1109/CW.2011.30.</w:t>
      </w:r>
    </w:p>
    <w:p w14:paraId="07A15A42" w14:textId="60713DF6" w:rsidR="00F702BF" w:rsidRPr="00F702BF" w:rsidRDefault="00F702BF" w:rsidP="00F06423">
      <w:pPr>
        <w:spacing w:after="120" w:line="276" w:lineRule="auto"/>
        <w:ind w:left="567" w:hanging="567"/>
        <w:rPr>
          <w:sz w:val="24"/>
          <w:lang w:val="en-US" w:eastAsia="de-DE"/>
        </w:rPr>
      </w:pPr>
      <w:proofErr w:type="spellStart"/>
      <w:r w:rsidRPr="00F702BF">
        <w:rPr>
          <w:sz w:val="24"/>
          <w:lang w:val="en-US" w:eastAsia="de-DE"/>
        </w:rPr>
        <w:t>Garris</w:t>
      </w:r>
      <w:proofErr w:type="spellEnd"/>
      <w:r w:rsidRPr="00F702BF">
        <w:rPr>
          <w:sz w:val="24"/>
          <w:lang w:val="en-US" w:eastAsia="de-DE"/>
        </w:rPr>
        <w:t xml:space="preserve">, R., </w:t>
      </w:r>
      <w:proofErr w:type="spellStart"/>
      <w:r w:rsidRPr="00F702BF">
        <w:rPr>
          <w:sz w:val="24"/>
          <w:lang w:val="en-US" w:eastAsia="de-DE"/>
        </w:rPr>
        <w:t>Ahlers</w:t>
      </w:r>
      <w:proofErr w:type="spellEnd"/>
      <w:r w:rsidRPr="00F702BF">
        <w:rPr>
          <w:sz w:val="24"/>
          <w:lang w:val="en-US" w:eastAsia="de-DE"/>
        </w:rPr>
        <w:t xml:space="preserve">, R. und </w:t>
      </w:r>
      <w:proofErr w:type="spellStart"/>
      <w:r w:rsidRPr="00F702BF">
        <w:rPr>
          <w:sz w:val="24"/>
          <w:lang w:val="en-US" w:eastAsia="de-DE"/>
        </w:rPr>
        <w:t>Driskell</w:t>
      </w:r>
      <w:proofErr w:type="spellEnd"/>
      <w:r w:rsidRPr="00F702BF">
        <w:rPr>
          <w:sz w:val="24"/>
          <w:lang w:val="en-US" w:eastAsia="de-DE"/>
        </w:rPr>
        <w:t xml:space="preserve">, J. E. (2002), „Games, motivation, and learning: A research and practical model“, In </w:t>
      </w:r>
      <w:r>
        <w:rPr>
          <w:i/>
          <w:sz w:val="24"/>
          <w:lang w:val="en-US" w:eastAsia="de-DE"/>
        </w:rPr>
        <w:t>SIMULATION &amp; GAMING</w:t>
      </w:r>
      <w:r>
        <w:rPr>
          <w:sz w:val="24"/>
          <w:lang w:val="en-US" w:eastAsia="de-DE"/>
        </w:rPr>
        <w:t>, Vol. 33, No 4, S. 441-467, DOI: 10.1177/1046878102238607.</w:t>
      </w:r>
    </w:p>
    <w:p w14:paraId="6CB24F88" w14:textId="105F1545" w:rsidR="007A148E" w:rsidRDefault="007A148E" w:rsidP="00F06423">
      <w:pPr>
        <w:spacing w:after="120" w:line="276" w:lineRule="auto"/>
        <w:ind w:left="567" w:hanging="567"/>
        <w:rPr>
          <w:sz w:val="24"/>
          <w:lang w:eastAsia="de-DE"/>
        </w:rPr>
      </w:pPr>
      <w:proofErr w:type="spellStart"/>
      <w:r>
        <w:rPr>
          <w:sz w:val="24"/>
          <w:lang w:eastAsia="de-DE"/>
        </w:rPr>
        <w:t>Pfannstiel</w:t>
      </w:r>
      <w:proofErr w:type="spellEnd"/>
      <w:r>
        <w:rPr>
          <w:sz w:val="24"/>
          <w:lang w:eastAsia="de-DE"/>
        </w:rPr>
        <w:t>, J., Sänger, V. und Schmidt, C. (2009), „Game-</w:t>
      </w:r>
      <w:proofErr w:type="spellStart"/>
      <w:r>
        <w:rPr>
          <w:sz w:val="24"/>
          <w:lang w:eastAsia="de-DE"/>
        </w:rPr>
        <w:t>based</w:t>
      </w:r>
      <w:proofErr w:type="spellEnd"/>
      <w:r>
        <w:rPr>
          <w:sz w:val="24"/>
          <w:lang w:eastAsia="de-DE"/>
        </w:rPr>
        <w:t xml:space="preserve"> Learning im Bildungskontext einer Hochschule – ein Praxisbericht“, In </w:t>
      </w:r>
      <w:proofErr w:type="spellStart"/>
      <w:r>
        <w:rPr>
          <w:i/>
          <w:sz w:val="24"/>
          <w:lang w:eastAsia="de-DE"/>
        </w:rPr>
        <w:t>MedienPädagogik</w:t>
      </w:r>
      <w:proofErr w:type="spellEnd"/>
      <w:r>
        <w:rPr>
          <w:sz w:val="24"/>
          <w:lang w:eastAsia="de-DE"/>
        </w:rPr>
        <w:t xml:space="preserve">, Themenheft 15/16, [online], URL: </w:t>
      </w:r>
      <w:hyperlink r:id="rId7" w:history="1">
        <w:r w:rsidR="00251EBA" w:rsidRPr="00CC5B78">
          <w:rPr>
            <w:rStyle w:val="Hyperlink"/>
            <w:sz w:val="24"/>
            <w:lang w:eastAsia="de-DE"/>
          </w:rPr>
          <w:t>http://www.medienpaed.com/article/download/102/102</w:t>
        </w:r>
      </w:hyperlink>
      <w:r w:rsidR="006D5309">
        <w:rPr>
          <w:sz w:val="24"/>
          <w:lang w:eastAsia="de-DE"/>
        </w:rPr>
        <w:t xml:space="preserve"> (Lizenz: CC BY 4.0)</w:t>
      </w:r>
    </w:p>
    <w:p w14:paraId="396DA8E4" w14:textId="6D54E3C1" w:rsidR="001329AB" w:rsidRPr="001329AB" w:rsidRDefault="001329AB" w:rsidP="00F06423">
      <w:pPr>
        <w:spacing w:after="120" w:line="276" w:lineRule="auto"/>
        <w:ind w:left="567" w:hanging="567"/>
        <w:rPr>
          <w:sz w:val="24"/>
          <w:lang w:eastAsia="de-DE"/>
        </w:rPr>
      </w:pPr>
      <w:r>
        <w:rPr>
          <w:sz w:val="24"/>
          <w:lang w:eastAsia="de-DE"/>
        </w:rPr>
        <w:lastRenderedPageBreak/>
        <w:t>Rapp, F. (2014)</w:t>
      </w:r>
      <w:r w:rsidR="00005C70">
        <w:rPr>
          <w:sz w:val="24"/>
          <w:lang w:eastAsia="de-DE"/>
        </w:rPr>
        <w:t>,</w:t>
      </w:r>
      <w:r>
        <w:rPr>
          <w:sz w:val="24"/>
          <w:lang w:eastAsia="de-DE"/>
        </w:rPr>
        <w:t xml:space="preserve"> „</w:t>
      </w:r>
      <w:proofErr w:type="spellStart"/>
      <w:r>
        <w:rPr>
          <w:sz w:val="24"/>
          <w:lang w:eastAsia="de-DE"/>
        </w:rPr>
        <w:t>Gamification</w:t>
      </w:r>
      <w:proofErr w:type="spellEnd"/>
      <w:r>
        <w:rPr>
          <w:sz w:val="24"/>
          <w:lang w:eastAsia="de-DE"/>
        </w:rPr>
        <w:t xml:space="preserve"> – Neue Lösung für alte Probleme?“</w:t>
      </w:r>
      <w:r w:rsidR="00005C70">
        <w:rPr>
          <w:sz w:val="24"/>
          <w:lang w:eastAsia="de-DE"/>
        </w:rPr>
        <w:t>, In Schwarzer, B. und</w:t>
      </w:r>
      <w:r>
        <w:rPr>
          <w:sz w:val="24"/>
          <w:lang w:eastAsia="de-DE"/>
        </w:rPr>
        <w:t xml:space="preserve"> Spitzer, S. (Hrsg.), </w:t>
      </w:r>
      <w:r>
        <w:rPr>
          <w:i/>
          <w:sz w:val="24"/>
          <w:lang w:eastAsia="de-DE"/>
        </w:rPr>
        <w:t xml:space="preserve">Digitale Spiele im interdisziplinären Diskurs: Entwicklungen und Perspektiven der Alltagskultur, Technologie und Wirtschaft, </w:t>
      </w:r>
      <w:r>
        <w:rPr>
          <w:sz w:val="24"/>
          <w:lang w:eastAsia="de-DE"/>
        </w:rPr>
        <w:t>Nomos, Baden-Baden, S. 107-136.</w:t>
      </w:r>
    </w:p>
    <w:p w14:paraId="5A025B11" w14:textId="30B3A618" w:rsidR="00F06423" w:rsidRPr="00DF6BFC" w:rsidRDefault="00F06423" w:rsidP="00F06423">
      <w:pPr>
        <w:spacing w:after="120" w:line="276" w:lineRule="auto"/>
        <w:ind w:left="567" w:hanging="567"/>
        <w:rPr>
          <w:sz w:val="24"/>
          <w:lang w:eastAsia="de-DE"/>
        </w:rPr>
      </w:pPr>
      <w:r>
        <w:rPr>
          <w:sz w:val="24"/>
          <w:lang w:eastAsia="de-DE"/>
        </w:rPr>
        <w:t>Schachtner, C. (2012)</w:t>
      </w:r>
      <w:r w:rsidR="00005C70">
        <w:rPr>
          <w:sz w:val="24"/>
          <w:lang w:eastAsia="de-DE"/>
        </w:rPr>
        <w:t>,</w:t>
      </w:r>
      <w:r>
        <w:rPr>
          <w:sz w:val="24"/>
          <w:lang w:eastAsia="de-DE"/>
        </w:rPr>
        <w:t xml:space="preserve"> „Spiel-Räume: Was die Faszination von Computer- und Online-Spielen über die Lebens- und Zukunftswünsche der Jugend sagt“, In </w:t>
      </w:r>
      <w:proofErr w:type="spellStart"/>
      <w:r>
        <w:rPr>
          <w:sz w:val="24"/>
          <w:lang w:eastAsia="de-DE"/>
        </w:rPr>
        <w:t>Bukow</w:t>
      </w:r>
      <w:proofErr w:type="spellEnd"/>
      <w:r>
        <w:rPr>
          <w:sz w:val="24"/>
          <w:lang w:eastAsia="de-DE"/>
        </w:rPr>
        <w:t>, G. C., Fromme, J.</w:t>
      </w:r>
      <w:r w:rsidR="00005C70">
        <w:rPr>
          <w:sz w:val="24"/>
          <w:lang w:eastAsia="de-DE"/>
        </w:rPr>
        <w:t xml:space="preserve"> und</w:t>
      </w:r>
      <w:r>
        <w:rPr>
          <w:sz w:val="24"/>
          <w:lang w:eastAsia="de-DE"/>
        </w:rPr>
        <w:t xml:space="preserve"> </w:t>
      </w:r>
      <w:proofErr w:type="spellStart"/>
      <w:r>
        <w:rPr>
          <w:sz w:val="24"/>
          <w:lang w:eastAsia="de-DE"/>
        </w:rPr>
        <w:t>Jörissen</w:t>
      </w:r>
      <w:proofErr w:type="spellEnd"/>
      <w:r>
        <w:rPr>
          <w:sz w:val="24"/>
          <w:lang w:eastAsia="de-DE"/>
        </w:rPr>
        <w:t xml:space="preserve">, B. (Hrsg.), </w:t>
      </w:r>
      <w:r>
        <w:rPr>
          <w:i/>
          <w:sz w:val="24"/>
          <w:lang w:eastAsia="de-DE"/>
        </w:rPr>
        <w:t>Raum, Zeit, Medienbildung: Untersuchungen zu medialen Veränderungen unseres Verhältnisses zu Raum und Zeit</w:t>
      </w:r>
      <w:r>
        <w:rPr>
          <w:sz w:val="24"/>
          <w:lang w:eastAsia="de-DE"/>
        </w:rPr>
        <w:t>, Springer VS, Wiesbaden, S. 195-216.</w:t>
      </w:r>
    </w:p>
    <w:p w14:paraId="1C783DB2" w14:textId="4AF1308C" w:rsidR="009F09E0" w:rsidRDefault="002E2596" w:rsidP="00774977">
      <w:pPr>
        <w:spacing w:line="276" w:lineRule="auto"/>
        <w:ind w:left="567" w:hanging="567"/>
        <w:rPr>
          <w:sz w:val="24"/>
          <w:lang w:eastAsia="de-DE"/>
        </w:rPr>
      </w:pPr>
      <w:r w:rsidRPr="002E2596">
        <w:rPr>
          <w:sz w:val="24"/>
          <w:lang w:eastAsia="de-DE"/>
        </w:rPr>
        <w:t>Schwan, S</w:t>
      </w:r>
      <w:r w:rsidR="00F06423">
        <w:rPr>
          <w:sz w:val="24"/>
          <w:lang w:eastAsia="de-DE"/>
        </w:rPr>
        <w:t>.</w:t>
      </w:r>
      <w:r w:rsidRPr="002E2596">
        <w:rPr>
          <w:sz w:val="24"/>
          <w:lang w:eastAsia="de-DE"/>
        </w:rPr>
        <w:t xml:space="preserve"> (2006)</w:t>
      </w:r>
      <w:r w:rsidR="00005C70">
        <w:rPr>
          <w:sz w:val="24"/>
          <w:lang w:eastAsia="de-DE"/>
        </w:rPr>
        <w:t>,</w:t>
      </w:r>
      <w:r w:rsidRPr="002E2596">
        <w:rPr>
          <w:sz w:val="24"/>
          <w:lang w:eastAsia="de-DE"/>
        </w:rPr>
        <w:t xml:space="preserve"> </w:t>
      </w:r>
      <w:r w:rsidR="00F06423">
        <w:rPr>
          <w:sz w:val="24"/>
          <w:lang w:eastAsia="de-DE"/>
        </w:rPr>
        <w:t>„</w:t>
      </w:r>
      <w:r w:rsidRPr="002E2596">
        <w:rPr>
          <w:sz w:val="24"/>
          <w:lang w:eastAsia="de-DE"/>
        </w:rPr>
        <w:t xml:space="preserve">Game </w:t>
      </w:r>
      <w:proofErr w:type="spellStart"/>
      <w:r w:rsidRPr="002E2596">
        <w:rPr>
          <w:sz w:val="24"/>
          <w:lang w:eastAsia="de-DE"/>
        </w:rPr>
        <w:t>Based</w:t>
      </w:r>
      <w:proofErr w:type="spellEnd"/>
      <w:r w:rsidRPr="002E2596">
        <w:rPr>
          <w:sz w:val="24"/>
          <w:lang w:eastAsia="de-DE"/>
        </w:rPr>
        <w:t xml:space="preserve"> Learning – Comput</w:t>
      </w:r>
      <w:r>
        <w:rPr>
          <w:sz w:val="24"/>
          <w:lang w:eastAsia="de-DE"/>
        </w:rPr>
        <w:t>erspiele in der Hochschullehre</w:t>
      </w:r>
      <w:r w:rsidR="00F06423">
        <w:rPr>
          <w:sz w:val="24"/>
          <w:lang w:eastAsia="de-DE"/>
        </w:rPr>
        <w:t>“, [online],</w:t>
      </w:r>
      <w:r>
        <w:rPr>
          <w:sz w:val="24"/>
          <w:lang w:eastAsia="de-DE"/>
        </w:rPr>
        <w:t xml:space="preserve"> </w:t>
      </w:r>
      <w:r w:rsidRPr="002E2596">
        <w:rPr>
          <w:sz w:val="24"/>
          <w:lang w:eastAsia="de-DE"/>
        </w:rPr>
        <w:t xml:space="preserve">URL: </w:t>
      </w:r>
      <w:hyperlink r:id="rId8" w:history="1">
        <w:r w:rsidRPr="002E2596">
          <w:rPr>
            <w:rStyle w:val="Hyperlink"/>
            <w:sz w:val="24"/>
            <w:lang w:eastAsia="de-DE"/>
          </w:rPr>
          <w:t>https://www.e-teaching.org/didaktik/konzeption/methoden/lernspiele/game_based_learning/gamebasedlearning.pdf</w:t>
        </w:r>
      </w:hyperlink>
    </w:p>
    <w:p w14:paraId="69105F97" w14:textId="0B8B7A94" w:rsidR="002E2596" w:rsidRDefault="002E2596" w:rsidP="002E2596">
      <w:pPr>
        <w:spacing w:line="276" w:lineRule="auto"/>
        <w:rPr>
          <w:sz w:val="24"/>
          <w:lang w:eastAsia="de-DE"/>
        </w:rPr>
      </w:pPr>
    </w:p>
    <w:p w14:paraId="4994AD74" w14:textId="77777777" w:rsidR="00EF0D83" w:rsidRDefault="00EF0D83" w:rsidP="002E2596">
      <w:pPr>
        <w:spacing w:line="276" w:lineRule="auto"/>
        <w:rPr>
          <w:sz w:val="24"/>
          <w:lang w:eastAsia="de-DE"/>
        </w:rPr>
      </w:pPr>
    </w:p>
    <w:p w14:paraId="28A7B676" w14:textId="2F8FBD0F" w:rsidR="002E2596" w:rsidRDefault="002E2596" w:rsidP="002E2596">
      <w:pPr>
        <w:pStyle w:val="berschrift2"/>
        <w:rPr>
          <w:lang w:eastAsia="de-DE"/>
        </w:rPr>
      </w:pPr>
      <w:r>
        <w:rPr>
          <w:lang w:eastAsia="de-DE"/>
        </w:rPr>
        <w:t>Lizenz</w:t>
      </w:r>
    </w:p>
    <w:p w14:paraId="46BC9ACE" w14:textId="4EBBAD42" w:rsidR="00D9301C" w:rsidRPr="007E73C4" w:rsidRDefault="00D9301C" w:rsidP="00D9301C">
      <w:pPr>
        <w:rPr>
          <w:sz w:val="20"/>
          <w:szCs w:val="20"/>
          <w:lang w:eastAsia="de-DE"/>
        </w:rPr>
      </w:pPr>
      <w:r w:rsidRPr="007E73C4">
        <w:rPr>
          <w:sz w:val="20"/>
          <w:szCs w:val="20"/>
          <w:lang w:eastAsia="de-DE"/>
        </w:rPr>
        <w:t>Idee &amp; Umsetzung: Claudia Vogeler</w:t>
      </w:r>
    </w:p>
    <w:p w14:paraId="1A5A6343" w14:textId="51717237" w:rsidR="00D9301C" w:rsidRPr="007E73C4" w:rsidRDefault="00D9301C" w:rsidP="00D9301C">
      <w:pPr>
        <w:rPr>
          <w:sz w:val="20"/>
          <w:szCs w:val="20"/>
          <w:lang w:eastAsia="de-DE"/>
        </w:rPr>
      </w:pPr>
      <w:r w:rsidRPr="007E73C4">
        <w:rPr>
          <w:sz w:val="20"/>
          <w:szCs w:val="20"/>
          <w:lang w:eastAsia="de-DE"/>
        </w:rPr>
        <w:t xml:space="preserve">Illustrationen &amp; Design: Julia </w:t>
      </w:r>
      <w:r w:rsidR="00002A06" w:rsidRPr="00002A06">
        <w:rPr>
          <w:sz w:val="20"/>
          <w:szCs w:val="20"/>
          <w:lang w:eastAsia="de-DE"/>
        </w:rPr>
        <w:t>Flitta (Lizenz: CC BY 4.0)</w:t>
      </w:r>
    </w:p>
    <w:p w14:paraId="668396D4" w14:textId="540CBD36" w:rsidR="00D9301C" w:rsidRDefault="00D9301C" w:rsidP="00D9301C">
      <w:pPr>
        <w:rPr>
          <w:sz w:val="24"/>
          <w:lang w:eastAsia="de-DE"/>
        </w:rPr>
      </w:pPr>
    </w:p>
    <w:p w14:paraId="0006DF97" w14:textId="0BD7D707" w:rsidR="00D9301C" w:rsidRPr="007E73C4" w:rsidRDefault="002E2596" w:rsidP="00D9301C">
      <w:pPr>
        <w:ind w:left="2124"/>
        <w:rPr>
          <w:sz w:val="20"/>
          <w:szCs w:val="20"/>
          <w:lang w:eastAsia="de-DE"/>
        </w:rPr>
      </w:pPr>
      <w:r w:rsidRPr="007E73C4">
        <w:rPr>
          <w:noProof/>
          <w:sz w:val="20"/>
          <w:szCs w:val="20"/>
          <w:lang w:eastAsia="de-DE"/>
        </w:rPr>
        <w:drawing>
          <wp:anchor distT="0" distB="0" distL="114300" distR="114300" simplePos="0" relativeHeight="251658240" behindDoc="0" locked="0" layoutInCell="1" allowOverlap="1" wp14:anchorId="18B94B93" wp14:editId="38813CCE">
            <wp:simplePos x="0" y="0"/>
            <wp:positionH relativeFrom="margin">
              <wp:align>left</wp:align>
            </wp:positionH>
            <wp:positionV relativeFrom="paragraph">
              <wp:posOffset>12114</wp:posOffset>
            </wp:positionV>
            <wp:extent cx="1079500" cy="379730"/>
            <wp:effectExtent l="0" t="0" r="635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png"/>
                    <pic:cNvPicPr/>
                  </pic:nvPicPr>
                  <pic:blipFill>
                    <a:blip r:embed="rId9">
                      <a:extLst>
                        <a:ext uri="{28A0092B-C50C-407E-A947-70E740481C1C}">
                          <a14:useLocalDpi xmlns:a14="http://schemas.microsoft.com/office/drawing/2010/main" val="0"/>
                        </a:ext>
                      </a:extLst>
                    </a:blip>
                    <a:stretch>
                      <a:fillRect/>
                    </a:stretch>
                  </pic:blipFill>
                  <pic:spPr>
                    <a:xfrm>
                      <a:off x="0" y="0"/>
                      <a:ext cx="1079500" cy="379730"/>
                    </a:xfrm>
                    <a:prstGeom prst="rect">
                      <a:avLst/>
                    </a:prstGeom>
                  </pic:spPr>
                </pic:pic>
              </a:graphicData>
            </a:graphic>
            <wp14:sizeRelH relativeFrom="margin">
              <wp14:pctWidth>0</wp14:pctWidth>
            </wp14:sizeRelH>
            <wp14:sizeRelV relativeFrom="margin">
              <wp14:pctHeight>0</wp14:pctHeight>
            </wp14:sizeRelV>
          </wp:anchor>
        </w:drawing>
      </w:r>
      <w:r w:rsidRPr="007E73C4">
        <w:rPr>
          <w:sz w:val="20"/>
          <w:szCs w:val="20"/>
          <w:lang w:eastAsia="de-DE"/>
        </w:rPr>
        <w:t>Die Checkliste „Spiele</w:t>
      </w:r>
      <w:r w:rsidR="000C350A">
        <w:rPr>
          <w:sz w:val="20"/>
          <w:szCs w:val="20"/>
          <w:lang w:eastAsia="de-DE"/>
        </w:rPr>
        <w:t xml:space="preserve"> mit hohem Lerneffekt</w:t>
      </w:r>
      <w:r w:rsidRPr="007E73C4">
        <w:rPr>
          <w:sz w:val="20"/>
          <w:szCs w:val="20"/>
          <w:lang w:eastAsia="de-DE"/>
        </w:rPr>
        <w:t xml:space="preserve">“ von Claudia Vogeler / Team Medien 4.0 ist lizenziert unter einer Creative </w:t>
      </w:r>
      <w:proofErr w:type="spellStart"/>
      <w:r w:rsidRPr="007E73C4">
        <w:rPr>
          <w:sz w:val="20"/>
          <w:szCs w:val="20"/>
          <w:lang w:eastAsia="de-DE"/>
        </w:rPr>
        <w:t>Commons</w:t>
      </w:r>
      <w:proofErr w:type="spellEnd"/>
      <w:r w:rsidRPr="007E73C4">
        <w:rPr>
          <w:sz w:val="20"/>
          <w:szCs w:val="20"/>
          <w:lang w:eastAsia="de-DE"/>
        </w:rPr>
        <w:t xml:space="preserve"> Namensnennung 4.0 International Lizenz (CC BY) (</w:t>
      </w:r>
      <w:hyperlink r:id="rId10" w:history="1">
        <w:r w:rsidRPr="007E73C4">
          <w:rPr>
            <w:rStyle w:val="Hyperlink"/>
            <w:sz w:val="20"/>
            <w:szCs w:val="20"/>
            <w:lang w:eastAsia="de-DE"/>
          </w:rPr>
          <w:t>https://creativecommons.org/licenses/by/4.0/legalcode.de</w:t>
        </w:r>
      </w:hyperlink>
      <w:r w:rsidRPr="007E73C4">
        <w:rPr>
          <w:sz w:val="20"/>
          <w:szCs w:val="20"/>
          <w:lang w:eastAsia="de-DE"/>
        </w:rPr>
        <w:t>).</w:t>
      </w:r>
      <w:r w:rsidR="00D9301C" w:rsidRPr="007E73C4">
        <w:rPr>
          <w:sz w:val="20"/>
          <w:szCs w:val="20"/>
          <w:lang w:eastAsia="de-DE"/>
        </w:rPr>
        <w:t xml:space="preserve"> Das Logo des Bundesministeriums für Bildung und Forschung fällt nicht unter eine freie Lizenz.</w:t>
      </w:r>
    </w:p>
    <w:p w14:paraId="1DC09459" w14:textId="56A4A175" w:rsidR="008510EE" w:rsidRDefault="008510EE" w:rsidP="008510EE">
      <w:pPr>
        <w:rPr>
          <w:sz w:val="24"/>
          <w:lang w:eastAsia="de-DE"/>
        </w:rPr>
      </w:pPr>
    </w:p>
    <w:p w14:paraId="082FFBEF" w14:textId="4A0CBAFF" w:rsidR="008510EE" w:rsidRPr="007E73C4" w:rsidRDefault="008510EE" w:rsidP="008510EE">
      <w:pPr>
        <w:rPr>
          <w:sz w:val="20"/>
          <w:szCs w:val="20"/>
          <w:lang w:eastAsia="de-DE"/>
        </w:rPr>
      </w:pPr>
      <w:r w:rsidRPr="007E73C4">
        <w:rPr>
          <w:sz w:val="20"/>
          <w:szCs w:val="20"/>
          <w:lang w:eastAsia="de-DE"/>
        </w:rPr>
        <w:t>(Stand: Juli 2018)</w:t>
      </w:r>
    </w:p>
    <w:p w14:paraId="57EACDAB" w14:textId="0DD7A096" w:rsidR="00D9301C" w:rsidRDefault="00D9301C" w:rsidP="00F23E66">
      <w:pPr>
        <w:jc w:val="right"/>
        <w:rPr>
          <w:sz w:val="24"/>
          <w:lang w:eastAsia="de-DE"/>
        </w:rPr>
      </w:pPr>
      <w:r>
        <w:rPr>
          <w:noProof/>
          <w:sz w:val="24"/>
          <w:lang w:eastAsia="de-DE"/>
        </w:rPr>
        <w:drawing>
          <wp:inline distT="0" distB="0" distL="0" distR="0" wp14:anchorId="5C39BA23" wp14:editId="254DA527">
            <wp:extent cx="3920218" cy="2825086"/>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6817" cy="2858667"/>
                    </a:xfrm>
                    <a:prstGeom prst="rect">
                      <a:avLst/>
                    </a:prstGeom>
                    <a:noFill/>
                  </pic:spPr>
                </pic:pic>
              </a:graphicData>
            </a:graphic>
          </wp:inline>
        </w:drawing>
      </w:r>
    </w:p>
    <w:sectPr w:rsidR="00D9301C" w:rsidSect="00D42E28">
      <w:headerReference w:type="even" r:id="rId12"/>
      <w:headerReference w:type="default" r:id="rId13"/>
      <w:footerReference w:type="even" r:id="rId14"/>
      <w:footerReference w:type="default" r:id="rId15"/>
      <w:headerReference w:type="first" r:id="rId16"/>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5855" w14:textId="77777777" w:rsidR="00876761" w:rsidRDefault="00876761" w:rsidP="00CB2E6C">
      <w:r>
        <w:separator/>
      </w:r>
    </w:p>
  </w:endnote>
  <w:endnote w:type="continuationSeparator" w:id="0">
    <w:p w14:paraId="7974CC08" w14:textId="77777777" w:rsidR="00876761" w:rsidRDefault="00876761"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6A9C5B7F"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A16495">
      <w:rPr>
        <w:rStyle w:val="Seitenzahl"/>
        <w:rFonts w:ascii="Candara" w:hAnsi="Candara"/>
        <w:noProof/>
      </w:rPr>
      <w:t>3</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21EF" w14:textId="77777777" w:rsidR="00876761" w:rsidRDefault="00876761" w:rsidP="00CB2E6C">
      <w:r>
        <w:separator/>
      </w:r>
    </w:p>
  </w:footnote>
  <w:footnote w:type="continuationSeparator" w:id="0">
    <w:p w14:paraId="22CF9B29" w14:textId="77777777" w:rsidR="00876761" w:rsidRDefault="00876761"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876761">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876761">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07.85pt;width:595.3pt;height:841.9pt;z-index:-251658240;mso-position-horizontal-relative:margin;mso-position-vertical-relative:margin" o:allowincell="f">
          <v:imagedata r:id="rId1" o:title="Medien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876761">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0"/>
    <w:rsid w:val="00002A06"/>
    <w:rsid w:val="00005C70"/>
    <w:rsid w:val="00015FC1"/>
    <w:rsid w:val="0002147D"/>
    <w:rsid w:val="00053DD1"/>
    <w:rsid w:val="0006727E"/>
    <w:rsid w:val="00067479"/>
    <w:rsid w:val="000C350A"/>
    <w:rsid w:val="001075CC"/>
    <w:rsid w:val="001329AB"/>
    <w:rsid w:val="00143B87"/>
    <w:rsid w:val="00144B1A"/>
    <w:rsid w:val="00165B6E"/>
    <w:rsid w:val="00176E7F"/>
    <w:rsid w:val="00184DA5"/>
    <w:rsid w:val="001A3178"/>
    <w:rsid w:val="00234850"/>
    <w:rsid w:val="00251EBA"/>
    <w:rsid w:val="002B725F"/>
    <w:rsid w:val="002E2596"/>
    <w:rsid w:val="002F07C6"/>
    <w:rsid w:val="00331BF2"/>
    <w:rsid w:val="00334F60"/>
    <w:rsid w:val="00354904"/>
    <w:rsid w:val="003D29A5"/>
    <w:rsid w:val="003D6BC6"/>
    <w:rsid w:val="00482B05"/>
    <w:rsid w:val="004E4403"/>
    <w:rsid w:val="005630F5"/>
    <w:rsid w:val="00582744"/>
    <w:rsid w:val="005A7562"/>
    <w:rsid w:val="005D4BD6"/>
    <w:rsid w:val="00602765"/>
    <w:rsid w:val="006304B0"/>
    <w:rsid w:val="0065297B"/>
    <w:rsid w:val="006C31B3"/>
    <w:rsid w:val="006D5309"/>
    <w:rsid w:val="006F358E"/>
    <w:rsid w:val="006F67CB"/>
    <w:rsid w:val="00773133"/>
    <w:rsid w:val="00774977"/>
    <w:rsid w:val="007A148E"/>
    <w:rsid w:val="007D2D5A"/>
    <w:rsid w:val="007E73C4"/>
    <w:rsid w:val="0083113C"/>
    <w:rsid w:val="00845AF4"/>
    <w:rsid w:val="008510EE"/>
    <w:rsid w:val="00860A64"/>
    <w:rsid w:val="00874B7C"/>
    <w:rsid w:val="00876761"/>
    <w:rsid w:val="00882CF0"/>
    <w:rsid w:val="008B014F"/>
    <w:rsid w:val="008B3E19"/>
    <w:rsid w:val="008D3A36"/>
    <w:rsid w:val="008E7D58"/>
    <w:rsid w:val="00903D16"/>
    <w:rsid w:val="00930213"/>
    <w:rsid w:val="009418C2"/>
    <w:rsid w:val="00955BE1"/>
    <w:rsid w:val="00957515"/>
    <w:rsid w:val="009C3A78"/>
    <w:rsid w:val="00A16495"/>
    <w:rsid w:val="00A23A23"/>
    <w:rsid w:val="00A424A2"/>
    <w:rsid w:val="00A53DD8"/>
    <w:rsid w:val="00A8063B"/>
    <w:rsid w:val="00A960DF"/>
    <w:rsid w:val="00B40512"/>
    <w:rsid w:val="00B46221"/>
    <w:rsid w:val="00C011A0"/>
    <w:rsid w:val="00C301A2"/>
    <w:rsid w:val="00C30653"/>
    <w:rsid w:val="00C53D6C"/>
    <w:rsid w:val="00C75B6C"/>
    <w:rsid w:val="00CA14E1"/>
    <w:rsid w:val="00CB2E6C"/>
    <w:rsid w:val="00CC4BDA"/>
    <w:rsid w:val="00CD21D7"/>
    <w:rsid w:val="00CE47A5"/>
    <w:rsid w:val="00CF6A88"/>
    <w:rsid w:val="00D42E28"/>
    <w:rsid w:val="00D50DC3"/>
    <w:rsid w:val="00D86D53"/>
    <w:rsid w:val="00D9301C"/>
    <w:rsid w:val="00DB7173"/>
    <w:rsid w:val="00DC6BCA"/>
    <w:rsid w:val="00DE7C09"/>
    <w:rsid w:val="00DF0D21"/>
    <w:rsid w:val="00DF3FBC"/>
    <w:rsid w:val="00E16FAB"/>
    <w:rsid w:val="00E322A2"/>
    <w:rsid w:val="00E45266"/>
    <w:rsid w:val="00E9618F"/>
    <w:rsid w:val="00EC768B"/>
    <w:rsid w:val="00EE0E42"/>
    <w:rsid w:val="00EF0D83"/>
    <w:rsid w:val="00EF2361"/>
    <w:rsid w:val="00F06423"/>
    <w:rsid w:val="00F15697"/>
    <w:rsid w:val="00F23E66"/>
    <w:rsid w:val="00F36CF0"/>
    <w:rsid w:val="00F45693"/>
    <w:rsid w:val="00F67C39"/>
    <w:rsid w:val="00F702BF"/>
    <w:rsid w:val="00FD2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table" w:styleId="Tabellenraster">
    <w:name w:val="Table Grid"/>
    <w:basedOn w:val="NormaleTabelle"/>
    <w:uiPriority w:val="39"/>
    <w:rsid w:val="002E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9301C"/>
    <w:pPr>
      <w:spacing w:before="100" w:beforeAutospacing="1" w:after="100" w:afterAutospacing="1"/>
    </w:pPr>
    <w:rPr>
      <w:rFonts w:ascii="Times New Roman" w:eastAsiaTheme="minorEastAsia"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aching.org/didaktik/konzeption/methoden/lernspiele/game_based_learning/gamebasedlearning.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dienpaed.com/article/download/102/102"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reativecommons.org/licenses/by/4.0/legalcode.de"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4465</Characters>
  <Application>Microsoft Office Word</Application>
  <DocSecurity>0</DocSecurity>
  <Lines>37</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Überschrift 1</vt:lpstr>
    </vt:vector>
  </TitlesOfParts>
  <Company>Orgname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Vogeler, Claudia</dc:creator>
  <cp:keywords/>
  <dc:description/>
  <cp:lastModifiedBy>Vogeler, Claudia</cp:lastModifiedBy>
  <cp:revision>64</cp:revision>
  <dcterms:created xsi:type="dcterms:W3CDTF">2018-07-05T06:51:00Z</dcterms:created>
  <dcterms:modified xsi:type="dcterms:W3CDTF">2018-07-19T08:16:00Z</dcterms:modified>
</cp:coreProperties>
</file>